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58CCAA61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="00307714">
              <w:rPr>
                <w:rFonts w:ascii="Times New Roman" w:eastAsia="Times New Roman" w:hAnsi="Times New Roman"/>
                <w:noProof/>
                <w:sz w:val="20"/>
              </w:rPr>
              <w:t>2-</w:t>
            </w:r>
            <w:r w:rsidR="00275BF0">
              <w:rPr>
                <w:rFonts w:ascii="Times New Roman" w:eastAsia="Times New Roman" w:hAnsi="Times New Roman"/>
                <w:noProof/>
                <w:sz w:val="20"/>
              </w:rPr>
              <w:t>1</w:t>
            </w:r>
            <w:r w:rsidR="004E7F81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778E8AC2" w:rsidR="003565C4" w:rsidRPr="00990583" w:rsidRDefault="00E911FE" w:rsidP="00E911FE">
            <w:pPr>
              <w:pStyle w:val="Corpsdetexte"/>
              <w:spacing w:before="0" w:after="0"/>
              <w:ind w:left="-8"/>
            </w:pPr>
            <w:r w:rsidRPr="00990583">
              <w:t>Paris</w:t>
            </w:r>
            <w:r w:rsidR="00B37B52" w:rsidRPr="00990583">
              <w:t xml:space="preserve">, le </w:t>
            </w:r>
            <w:r w:rsidR="005B17F0">
              <w:t>29</w:t>
            </w:r>
            <w:r w:rsidR="00601461">
              <w:t xml:space="preserve"> </w:t>
            </w:r>
            <w:r w:rsidR="004E7F81">
              <w:t>décembre</w:t>
            </w:r>
            <w:r w:rsidR="003B3DDE">
              <w:t xml:space="preserve"> </w:t>
            </w:r>
            <w:r w:rsidR="00A57E3D" w:rsidRPr="00990583">
              <w:t>202</w:t>
            </w:r>
            <w:r w:rsidR="00307714">
              <w:t>2</w:t>
            </w:r>
          </w:p>
        </w:tc>
      </w:tr>
    </w:tbl>
    <w:p w14:paraId="27D5BEC7" w14:textId="77777777" w:rsidR="00302BF5" w:rsidRPr="00E935A2" w:rsidRDefault="00E935A2" w:rsidP="00A01213">
      <w:pPr>
        <w:spacing w:before="120" w:after="0" w:line="240" w:lineRule="auto"/>
        <w:jc w:val="center"/>
        <w:rPr>
          <w:b/>
        </w:rPr>
      </w:pPr>
      <w:r w:rsidRPr="00E935A2">
        <w:rPr>
          <w:b/>
        </w:rPr>
        <w:t>RÉSUMÉ DU MOIS</w:t>
      </w:r>
    </w:p>
    <w:p w14:paraId="23978685" w14:textId="77777777" w:rsidR="00A15B3A" w:rsidRPr="00870D41" w:rsidRDefault="00A15B3A" w:rsidP="00A01213">
      <w:pPr>
        <w:spacing w:before="120" w:after="0" w:line="240" w:lineRule="auto"/>
      </w:pPr>
    </w:p>
    <w:p w14:paraId="07105D35" w14:textId="77777777" w:rsidR="004378F6" w:rsidRPr="00C42CCE" w:rsidRDefault="00596118" w:rsidP="00A01213">
      <w:pPr>
        <w:spacing w:before="120" w:after="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2573AE39" w:rsidR="00D1561B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0B5BF0">
        <w:t>Taux de rémunération des comptes courants 2022 : 2,21% - Passif latent après « TUP » déductible du résultat – Dépréciation du fonds de commerce déductible si elle est conforme aux règles comptables -</w:t>
      </w:r>
    </w:p>
    <w:p w14:paraId="073D1CB1" w14:textId="1EE4B5B2" w:rsidR="00916F7D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0B5BF0">
        <w:t>Fait générateur pour les VEFA : l’achèvement de l’immeuble – Exigibilité de la TVA sur les livraison de biens : à l’encaissement de l’acompte s’il précède la livraison – Des précisions sur les subventions et indemnités -</w:t>
      </w:r>
    </w:p>
    <w:p w14:paraId="4E8276DC" w14:textId="0B21BEB2" w:rsidR="001261C0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A1614D">
        <w:t>Rien à signaler</w:t>
      </w:r>
    </w:p>
    <w:p w14:paraId="7E16B77A" w14:textId="17E17B46" w:rsidR="004A7406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A23362">
        <w:t>Rien à signaler</w:t>
      </w:r>
    </w:p>
    <w:p w14:paraId="4889B031" w14:textId="7C615DE2" w:rsidR="00B50E23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0B5BF0">
        <w:t>Pas de droit d’enregistrement sur les cessions d’usufruit de parts : il n’y a pas mutation de propriété -</w:t>
      </w:r>
    </w:p>
    <w:p w14:paraId="65391ECA" w14:textId="77777777" w:rsidR="00A05CA0" w:rsidRDefault="00A05CA0" w:rsidP="00A01213">
      <w:pPr>
        <w:spacing w:before="120" w:after="0" w:line="240" w:lineRule="auto"/>
      </w:pPr>
    </w:p>
    <w:p w14:paraId="5B5F272A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5BEDB53D" w14:textId="77777777" w:rsidR="00A23362" w:rsidRDefault="00596118" w:rsidP="00A23362">
      <w:pPr>
        <w:spacing w:before="120" w:after="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A23362">
        <w:t>Rien à signaler</w:t>
      </w:r>
    </w:p>
    <w:p w14:paraId="5F6B1C19" w14:textId="5E6D3ECD" w:rsidR="005A391C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0B5BF0">
        <w:t>Rien à signaler</w:t>
      </w:r>
    </w:p>
    <w:p w14:paraId="2B21C9B8" w14:textId="77777777" w:rsidR="00596118" w:rsidRDefault="00596118" w:rsidP="00A01213">
      <w:pPr>
        <w:spacing w:before="120" w:after="0" w:line="240" w:lineRule="auto"/>
      </w:pPr>
    </w:p>
    <w:p w14:paraId="4A445B21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682C7609" w:rsidR="00B54BDA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0B5BF0">
        <w:t>Rémunération des directeurs d’OPH -</w:t>
      </w:r>
    </w:p>
    <w:p w14:paraId="41468130" w14:textId="31364A15" w:rsidR="006B1E5F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0B5BF0">
        <w:t xml:space="preserve">Les élus au rapport, même s’il ne sert pas à grand-chose - </w:t>
      </w:r>
      <w:r w:rsidR="000B5BF0">
        <w:t>Tout ce qui n’est plus au FCTVA -</w:t>
      </w:r>
    </w:p>
    <w:p w14:paraId="48D6DEFC" w14:textId="3BB90FD5" w:rsidR="00CE269F" w:rsidRDefault="00596118" w:rsidP="00A01213">
      <w:pPr>
        <w:spacing w:before="120" w:after="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0B5BF0">
        <w:t>TVA ou pas TVA pour l’indemnisation du maître d’ouvrage par les entreprises défaillantes -</w:t>
      </w:r>
    </w:p>
    <w:p w14:paraId="76354D80" w14:textId="4CFE9518" w:rsidR="00004382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0B5BF0">
        <w:t xml:space="preserve">Le guide des </w:t>
      </w:r>
      <w:r w:rsidR="002E0E51">
        <w:t>directeurs</w:t>
      </w:r>
      <w:r w:rsidR="000B5BF0">
        <w:t xml:space="preserve"> d’EPL -</w:t>
      </w:r>
    </w:p>
    <w:p w14:paraId="77F778DB" w14:textId="77777777" w:rsidR="00303BBA" w:rsidRDefault="00303BBA" w:rsidP="00A01213">
      <w:pPr>
        <w:spacing w:before="120" w:after="0" w:line="240" w:lineRule="auto"/>
        <w:ind w:left="1701" w:hanging="1701"/>
      </w:pPr>
    </w:p>
    <w:p w14:paraId="75EB0D2D" w14:textId="01F62252" w:rsidR="00E935A2" w:rsidRDefault="00E935A2" w:rsidP="009A34E8">
      <w:pPr>
        <w:tabs>
          <w:tab w:val="left" w:pos="567"/>
          <w:tab w:val="left" w:pos="1134"/>
          <w:tab w:val="left" w:pos="2250"/>
        </w:tabs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  <w:r w:rsidR="00C372C7">
        <w:rPr>
          <w:rFonts w:cs="Times"/>
          <w:b/>
          <w:szCs w:val="24"/>
        </w:rPr>
        <w:tab/>
      </w:r>
    </w:p>
    <w:p w14:paraId="556563EB" w14:textId="31CA75AB" w:rsidR="00091C56" w:rsidRPr="008A16AA" w:rsidRDefault="00E935A2">
      <w:pPr>
        <w:pStyle w:val="Paragraphedeliste"/>
        <w:numPr>
          <w:ilvl w:val="1"/>
          <w:numId w:val="3"/>
        </w:numPr>
        <w:spacing w:before="120" w:after="0" w:line="240" w:lineRule="auto"/>
        <w:contextualSpacing w:val="0"/>
        <w:rPr>
          <w:rFonts w:cs="Times"/>
          <w:b/>
          <w:szCs w:val="24"/>
        </w:rPr>
      </w:pPr>
      <w:r w:rsidRPr="008A16AA">
        <w:rPr>
          <w:rFonts w:cs="Times"/>
          <w:b/>
          <w:szCs w:val="24"/>
        </w:rPr>
        <w:t>Impôt sur les sociétés</w:t>
      </w:r>
    </w:p>
    <w:p w14:paraId="0C003E67" w14:textId="2A12FD76" w:rsidR="00D409D2" w:rsidRPr="00D409D2" w:rsidRDefault="00D409D2" w:rsidP="0032271C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Intérêts des comptes courants –</w:t>
      </w:r>
      <w:r>
        <w:rPr>
          <w:color w:val="003300"/>
        </w:rPr>
        <w:t xml:space="preserve"> Le taux pour l’année 2022 est de 2,21%</w:t>
      </w:r>
    </w:p>
    <w:p w14:paraId="7C089AC4" w14:textId="77777777" w:rsidR="00D409D2" w:rsidRDefault="00D409D2" w:rsidP="0032271C">
      <w:pPr>
        <w:spacing w:before="120" w:after="0" w:line="240" w:lineRule="auto"/>
        <w:rPr>
          <w:color w:val="003300"/>
          <w:u w:val="single"/>
        </w:rPr>
      </w:pPr>
    </w:p>
    <w:p w14:paraId="00B3D448" w14:textId="00669FAF" w:rsidR="004E7F81" w:rsidRDefault="005A0AFA" w:rsidP="0032271C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Passif latent après « TUP » -</w:t>
      </w:r>
      <w:r w:rsidRPr="005A0AFA">
        <w:rPr>
          <w:color w:val="003300"/>
        </w:rPr>
        <w:t xml:space="preserve"> Il</w:t>
      </w:r>
      <w:r>
        <w:rPr>
          <w:color w:val="003300"/>
        </w:rPr>
        <w:t xml:space="preserve"> est déductible du résultat de </w:t>
      </w:r>
      <w:r w:rsidR="00355889">
        <w:rPr>
          <w:color w:val="003300"/>
        </w:rPr>
        <w:t>l</w:t>
      </w:r>
      <w:r>
        <w:rPr>
          <w:color w:val="003300"/>
        </w:rPr>
        <w:t>a société qui récupère ce passif après la « TUP ».</w:t>
      </w:r>
    </w:p>
    <w:p w14:paraId="086CBC80" w14:textId="3A2D6B8D" w:rsidR="005A0AFA" w:rsidRPr="005A0AFA" w:rsidRDefault="005A0AFA" w:rsidP="005A0AFA">
      <w:pPr>
        <w:spacing w:before="120" w:after="0" w:line="240" w:lineRule="auto"/>
        <w:ind w:left="567"/>
        <w:rPr>
          <w:color w:val="003300"/>
        </w:rPr>
      </w:pPr>
      <w:r w:rsidRPr="005A0AFA">
        <w:rPr>
          <w:color w:val="003300"/>
        </w:rPr>
        <w:t xml:space="preserve">CE 22-11-2022 </w:t>
      </w:r>
      <w:hyperlink r:id="rId8" w:history="1">
        <w:r w:rsidRPr="005A0AFA">
          <w:rPr>
            <w:rStyle w:val="Lienhypertexte"/>
          </w:rPr>
          <w:t>n° 447097</w:t>
        </w:r>
      </w:hyperlink>
    </w:p>
    <w:p w14:paraId="0E1001A1" w14:textId="090ED149" w:rsidR="00A159C6" w:rsidRDefault="00A159C6" w:rsidP="00A159C6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Dépréciation du fonds de commerce –</w:t>
      </w:r>
      <w:r w:rsidRPr="005A0AFA">
        <w:rPr>
          <w:color w:val="003300"/>
        </w:rPr>
        <w:t xml:space="preserve"> </w:t>
      </w:r>
      <w:r>
        <w:rPr>
          <w:color w:val="003300"/>
        </w:rPr>
        <w:t>L</w:t>
      </w:r>
      <w:r w:rsidR="00355889">
        <w:rPr>
          <w:color w:val="003300"/>
        </w:rPr>
        <w:t>a</w:t>
      </w:r>
      <w:r>
        <w:rPr>
          <w:color w:val="003300"/>
        </w:rPr>
        <w:t xml:space="preserve"> provision est déductible si elle est calculée en application des règles </w:t>
      </w:r>
      <w:r w:rsidRPr="00FE0B90">
        <w:rPr>
          <w:color w:val="003300"/>
        </w:rPr>
        <w:t>comptables</w:t>
      </w:r>
      <w:r>
        <w:rPr>
          <w:color w:val="003300"/>
        </w:rPr>
        <w:t>.</w:t>
      </w:r>
    </w:p>
    <w:p w14:paraId="171B3397" w14:textId="77777777" w:rsidR="00A159C6" w:rsidRPr="005A0AFA" w:rsidRDefault="00A159C6" w:rsidP="00A159C6">
      <w:pPr>
        <w:spacing w:before="120" w:after="0" w:line="240" w:lineRule="auto"/>
        <w:ind w:left="567"/>
        <w:rPr>
          <w:rFonts w:cs="Times"/>
          <w:bCs/>
          <w:szCs w:val="24"/>
        </w:rPr>
      </w:pPr>
      <w:r w:rsidRPr="005A0AFA">
        <w:rPr>
          <w:rFonts w:cs="Times"/>
          <w:bCs/>
          <w:szCs w:val="24"/>
        </w:rPr>
        <w:t xml:space="preserve">CE 22-11-2022 </w:t>
      </w:r>
      <w:hyperlink r:id="rId9" w:history="1">
        <w:r w:rsidRPr="005A0AFA">
          <w:rPr>
            <w:rStyle w:val="Lienhypertexte"/>
            <w:rFonts w:cs="Times"/>
            <w:bCs/>
            <w:szCs w:val="24"/>
          </w:rPr>
          <w:t>n° 454766</w:t>
        </w:r>
      </w:hyperlink>
    </w:p>
    <w:p w14:paraId="702289FB" w14:textId="5278400A" w:rsidR="009D760D" w:rsidRPr="0032271C" w:rsidRDefault="00516DD0" w:rsidP="0032271C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675181FF" w14:textId="77777777" w:rsidR="000B5BF0" w:rsidRDefault="000B5BF0" w:rsidP="000B5BF0">
      <w:pPr>
        <w:spacing w:before="120" w:after="0" w:line="240" w:lineRule="auto"/>
        <w:rPr>
          <w:rFonts w:cs="Times"/>
          <w:bCs/>
          <w:szCs w:val="24"/>
        </w:rPr>
      </w:pPr>
      <w:r w:rsidRPr="00A159C6">
        <w:rPr>
          <w:rFonts w:cs="Times"/>
          <w:bCs/>
          <w:szCs w:val="24"/>
          <w:u w:val="single"/>
        </w:rPr>
        <w:t>Fait générateur des VEFA</w:t>
      </w:r>
      <w:r>
        <w:rPr>
          <w:rFonts w:cs="Times"/>
          <w:bCs/>
          <w:szCs w:val="24"/>
        </w:rPr>
        <w:t xml:space="preserve"> – A l’achèvement, même si la livraison est postérieure.</w:t>
      </w:r>
    </w:p>
    <w:p w14:paraId="3CF50A40" w14:textId="77777777" w:rsidR="000B5BF0" w:rsidRDefault="000B5BF0" w:rsidP="000B5BF0">
      <w:pPr>
        <w:spacing w:before="120" w:after="0" w:line="240" w:lineRule="auto"/>
        <w:ind w:left="567"/>
        <w:rPr>
          <w:rFonts w:cs="Times"/>
          <w:bCs/>
          <w:szCs w:val="24"/>
        </w:rPr>
      </w:pPr>
      <w:hyperlink r:id="rId10" w:history="1">
        <w:r w:rsidRPr="00A159C6">
          <w:rPr>
            <w:rStyle w:val="Lienhypertexte"/>
            <w:rFonts w:cs="Times"/>
            <w:bCs/>
            <w:szCs w:val="24"/>
          </w:rPr>
          <w:t xml:space="preserve">Réponse </w:t>
        </w:r>
        <w:proofErr w:type="spellStart"/>
        <w:r w:rsidRPr="00A159C6">
          <w:rPr>
            <w:rStyle w:val="Lienhypertexte"/>
            <w:rFonts w:cs="Times"/>
            <w:bCs/>
            <w:szCs w:val="24"/>
          </w:rPr>
          <w:t>Louwagie</w:t>
        </w:r>
        <w:proofErr w:type="spellEnd"/>
        <w:r w:rsidRPr="00A159C6">
          <w:rPr>
            <w:rStyle w:val="Lienhypertexte"/>
            <w:rFonts w:cs="Times"/>
            <w:bCs/>
            <w:szCs w:val="24"/>
          </w:rPr>
          <w:t xml:space="preserve"> n° 96</w:t>
        </w:r>
      </w:hyperlink>
      <w:r>
        <w:rPr>
          <w:rFonts w:cs="Times"/>
          <w:bCs/>
          <w:szCs w:val="24"/>
        </w:rPr>
        <w:t>, JOAN 13/9/22, p. 4038</w:t>
      </w:r>
    </w:p>
    <w:p w14:paraId="00F98915" w14:textId="29A6108F" w:rsidR="004E7F81" w:rsidRPr="00275BF0" w:rsidRDefault="004E7F81" w:rsidP="004E7F81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Exigibilité</w:t>
      </w:r>
      <w:r w:rsidRPr="00275BF0">
        <w:rPr>
          <w:color w:val="003300"/>
          <w:u w:val="single"/>
        </w:rPr>
        <w:t xml:space="preserve"> –</w:t>
      </w:r>
      <w:r w:rsidRPr="00275BF0">
        <w:rPr>
          <w:color w:val="003300"/>
        </w:rPr>
        <w:t xml:space="preserve"> </w:t>
      </w:r>
      <w:r>
        <w:rPr>
          <w:color w:val="003300"/>
        </w:rPr>
        <w:t>S’agissant des livraisons de biens, la TVA est exigible à l’encaissement de l’acompte, s’il précède la livraison.</w:t>
      </w:r>
    </w:p>
    <w:p w14:paraId="485FF014" w14:textId="77777777" w:rsidR="004E7F81" w:rsidRPr="004E7F81" w:rsidRDefault="00000000" w:rsidP="004E7F81">
      <w:pPr>
        <w:pStyle w:val="NormalWeb"/>
        <w:shd w:val="clear" w:color="auto" w:fill="FFFFFF"/>
        <w:spacing w:before="120" w:after="0"/>
        <w:ind w:left="567"/>
        <w:jc w:val="both"/>
        <w:rPr>
          <w:rFonts w:ascii="Times" w:hAnsi="Times" w:cs="Times"/>
          <w:color w:val="333333"/>
        </w:rPr>
      </w:pPr>
      <w:hyperlink r:id="rId11" w:tooltip="21/12/2022 : TVA - Exigibilité de la TVA sur les acomptes perçus dans le cadre de livraisons de biens (loi n° 2021-1900 du 30 décembre 2021 de finances pour 2022, art. 30, I-8°)" w:history="1">
        <w:r w:rsidR="004E7F81" w:rsidRPr="004E7F81">
          <w:rPr>
            <w:rStyle w:val="Lienhypertexte"/>
            <w:rFonts w:ascii="Times" w:hAnsi="Times" w:cs="Times"/>
          </w:rPr>
          <w:t>21/12/2022 : TVA - Exigibilité de la TVA sur les acomptes perçus dans le cadre de livraisons de biens (loi n° 2021-1900 du 30 décembre 2021 de finances pour 2022, art. 30, I-8°)</w:t>
        </w:r>
      </w:hyperlink>
    </w:p>
    <w:p w14:paraId="64D48785" w14:textId="0F163BD6" w:rsidR="004E7F81" w:rsidRPr="00D616A1" w:rsidRDefault="00D409D2" w:rsidP="00D616A1">
      <w:pPr>
        <w:keepNext/>
        <w:spacing w:before="120" w:after="0" w:line="240" w:lineRule="auto"/>
        <w:rPr>
          <w:rFonts w:ascii="Times New Roman" w:hAnsi="Times New Roman"/>
          <w:caps/>
          <w:color w:val="003300"/>
          <w:szCs w:val="24"/>
          <w:u w:val="single"/>
        </w:rPr>
      </w:pPr>
      <w:r>
        <w:rPr>
          <w:color w:val="003300"/>
          <w:u w:val="single"/>
        </w:rPr>
        <w:t>Subventions et indemnités</w:t>
      </w:r>
      <w:r w:rsidRPr="00275BF0">
        <w:rPr>
          <w:color w:val="003300"/>
          <w:u w:val="single"/>
        </w:rPr>
        <w:t xml:space="preserve"> –</w:t>
      </w:r>
      <w:r w:rsidRPr="00275BF0">
        <w:rPr>
          <w:color w:val="003300"/>
        </w:rPr>
        <w:t xml:space="preserve"> </w:t>
      </w:r>
      <w:r>
        <w:rPr>
          <w:color w:val="003300"/>
        </w:rPr>
        <w:t xml:space="preserve">Les précisions </w:t>
      </w:r>
      <w:r w:rsidR="00D616A1">
        <w:rPr>
          <w:color w:val="003300"/>
        </w:rPr>
        <w:t xml:space="preserve">de l’Administration pour ce qui concerne la TVA : </w:t>
      </w:r>
      <w:r w:rsidR="00D616A1" w:rsidRPr="00D616A1">
        <w:rPr>
          <w:rFonts w:ascii="Times New Roman" w:hAnsi="Times New Roman"/>
          <w:color w:val="003300"/>
          <w:szCs w:val="24"/>
        </w:rPr>
        <w:t>évolutions et maintien…</w:t>
      </w:r>
    </w:p>
    <w:p w14:paraId="272C40D1" w14:textId="77777777" w:rsidR="00D409D2" w:rsidRPr="00D616A1" w:rsidRDefault="00000000" w:rsidP="00D616A1">
      <w:pPr>
        <w:pStyle w:val="NormalWeb"/>
        <w:shd w:val="clear" w:color="auto" w:fill="FFFFFF"/>
        <w:spacing w:before="120" w:after="0"/>
        <w:ind w:left="567"/>
        <w:jc w:val="both"/>
        <w:rPr>
          <w:color w:val="333333"/>
        </w:rPr>
      </w:pPr>
      <w:hyperlink r:id="rId12" w:tooltip="28/12/2022 : TVA - Précisions doctrinales relatives aux subventions et aux indemnités - Jurisprudence (CJUE, arrêt du 23 décembre 2015, affaires C-250/14 et C-289/14, Air France-KLM) - Mise à jour suite à consultation publique" w:history="1">
        <w:r w:rsidR="00D409D2" w:rsidRPr="00D616A1">
          <w:rPr>
            <w:rStyle w:val="Lienhypertexte"/>
          </w:rPr>
          <w:t>28/12/2022 : TVA - Précisions doctrinales relatives aux subventions et aux indemnités - Jurisprudence (CJUE, arrêt du 23 décembre 2015, affaires C-250/14 et C-289/14, Air France-KLM) - Mise à jour suite à consultation publique</w:t>
        </w:r>
      </w:hyperlink>
    </w:p>
    <w:p w14:paraId="6CE58C92" w14:textId="6AF1D9F4" w:rsidR="00FF358C" w:rsidRPr="006320BB" w:rsidRDefault="00FF358C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55C0C566" w14:textId="7A7ED6AD" w:rsidR="00635DCD" w:rsidRDefault="00A1614D" w:rsidP="009A34E8">
      <w:pPr>
        <w:keepNext/>
        <w:spacing w:before="120" w:after="0" w:line="240" w:lineRule="auto"/>
        <w:rPr>
          <w:color w:val="003300"/>
          <w:u w:val="single"/>
        </w:rPr>
      </w:pPr>
      <w:r w:rsidRPr="00D04802">
        <w:rPr>
          <w:color w:val="003300"/>
        </w:rPr>
        <w:t>Rien à signaler</w:t>
      </w:r>
    </w:p>
    <w:p w14:paraId="034CD263" w14:textId="0D461C85" w:rsidR="00426AED" w:rsidRPr="0030393C" w:rsidRDefault="00426AED" w:rsidP="009A34E8">
      <w:pPr>
        <w:keepNext/>
        <w:spacing w:before="120" w:after="0" w:line="240" w:lineRule="auto"/>
        <w:rPr>
          <w:rFonts w:cs="Times"/>
          <w:b/>
          <w:szCs w:val="24"/>
        </w:rPr>
      </w:pPr>
      <w:r w:rsidRPr="0030393C">
        <w:rPr>
          <w:rFonts w:cs="Times"/>
          <w:b/>
          <w:szCs w:val="24"/>
        </w:rPr>
        <w:t>1.4</w:t>
      </w:r>
      <w:r w:rsidRPr="0030393C">
        <w:rPr>
          <w:rFonts w:cs="Times"/>
          <w:b/>
          <w:szCs w:val="24"/>
        </w:rPr>
        <w:tab/>
        <w:t>Taxes sur les salaires</w:t>
      </w:r>
    </w:p>
    <w:p w14:paraId="4808C57B" w14:textId="272C8F3C" w:rsidR="0030393C" w:rsidRPr="00A23362" w:rsidRDefault="008C638F" w:rsidP="009A34E8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20AC9049" w14:textId="70635303" w:rsidR="00876847" w:rsidRDefault="00BA1DA3" w:rsidP="009A34E8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64F96DE5" w14:textId="24277043" w:rsidR="00D1776D" w:rsidRDefault="00A62B7D" w:rsidP="000B5BF0">
      <w:pPr>
        <w:spacing w:before="120" w:after="0" w:line="240" w:lineRule="auto"/>
        <w:rPr>
          <w:color w:val="003300"/>
        </w:rPr>
      </w:pPr>
      <w:r w:rsidRPr="002E7D5A">
        <w:rPr>
          <w:color w:val="003300"/>
          <w:u w:val="single"/>
        </w:rPr>
        <w:t>Cession d’usufruit de parts</w:t>
      </w:r>
      <w:r>
        <w:rPr>
          <w:color w:val="003300"/>
        </w:rPr>
        <w:t xml:space="preserve"> -Pas de droit d’enregistrement proportionnel car pas de mutation de propriété.</w:t>
      </w:r>
    </w:p>
    <w:p w14:paraId="180A80A1" w14:textId="5DF193C7" w:rsidR="00A62B7D" w:rsidRPr="00E2626E" w:rsidRDefault="00A62B7D" w:rsidP="000B5BF0">
      <w:pPr>
        <w:spacing w:before="120" w:after="0" w:line="240" w:lineRule="auto"/>
        <w:ind w:left="567"/>
        <w:rPr>
          <w:rFonts w:cs="Times"/>
          <w:color w:val="003300"/>
          <w:szCs w:val="24"/>
        </w:rPr>
      </w:pPr>
      <w:r w:rsidRPr="00A62B7D">
        <w:rPr>
          <w:rFonts w:cs="Times"/>
          <w:color w:val="003300"/>
          <w:szCs w:val="24"/>
        </w:rPr>
        <w:t xml:space="preserve">Cass. com. 30-11-2022 </w:t>
      </w:r>
      <w:hyperlink r:id="rId13" w:history="1">
        <w:r w:rsidRPr="00A62B7D">
          <w:rPr>
            <w:rStyle w:val="Lienhypertexte"/>
            <w:rFonts w:cs="Times"/>
            <w:szCs w:val="24"/>
          </w:rPr>
          <w:t>n° 20-18.884</w:t>
        </w:r>
      </w:hyperlink>
    </w:p>
    <w:p w14:paraId="565AEBFE" w14:textId="77777777" w:rsidR="00371A32" w:rsidRDefault="00371A32" w:rsidP="000B5BF0">
      <w:pPr>
        <w:spacing w:before="120" w:after="0" w:line="240" w:lineRule="auto"/>
        <w:rPr>
          <w:color w:val="003300"/>
        </w:rPr>
      </w:pPr>
    </w:p>
    <w:p w14:paraId="20C76B2E" w14:textId="08D46534" w:rsidR="00E935A2" w:rsidRPr="006320BB" w:rsidRDefault="00E935A2" w:rsidP="000B5BF0">
      <w:pPr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5058EBDC" w:rsidR="006C5598" w:rsidRDefault="00E935A2" w:rsidP="000B5BF0">
      <w:pPr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7E5D26DE" w14:textId="2E2E3390" w:rsidR="00A23362" w:rsidRPr="00A23362" w:rsidRDefault="00A23362" w:rsidP="000B5BF0">
      <w:pPr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1E12E0B0" w14:textId="6990031D" w:rsidR="00925661" w:rsidRDefault="00E935A2" w:rsidP="000B5BF0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lastRenderedPageBreak/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3DC1467F" w14:textId="2BF8B655" w:rsidR="00A1614D" w:rsidRPr="002E7D5A" w:rsidRDefault="002E7D5A" w:rsidP="000B5BF0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597BEC23" w14:textId="77777777" w:rsidR="004E7F81" w:rsidRDefault="004E7F81" w:rsidP="009A34E8">
      <w:pPr>
        <w:spacing w:before="120" w:after="0" w:line="240" w:lineRule="auto"/>
        <w:rPr>
          <w:rFonts w:cs="Times"/>
          <w:b/>
          <w:szCs w:val="24"/>
        </w:rPr>
      </w:pPr>
    </w:p>
    <w:p w14:paraId="077EA3B3" w14:textId="45D2A99A" w:rsidR="00E935A2" w:rsidRPr="006320BB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136855FD" w14:textId="17F2D9FE" w:rsidR="00635DCD" w:rsidRDefault="00D44EFD" w:rsidP="00A1614D">
      <w:pPr>
        <w:keepNext/>
        <w:spacing w:before="120" w:after="0" w:line="240" w:lineRule="auto"/>
        <w:rPr>
          <w:color w:val="003300"/>
        </w:rPr>
      </w:pPr>
      <w:r w:rsidRPr="00D44EFD">
        <w:rPr>
          <w:color w:val="003300"/>
          <w:u w:val="single"/>
        </w:rPr>
        <w:t>La rémunération des directeurs d’OPH</w:t>
      </w:r>
      <w:r>
        <w:rPr>
          <w:color w:val="003300"/>
        </w:rPr>
        <w:t xml:space="preserve"> – Actualisation des plafonds de rémunération.</w:t>
      </w:r>
    </w:p>
    <w:p w14:paraId="5AA1997F" w14:textId="1161C6AB" w:rsidR="00D44EFD" w:rsidRPr="00A1614D" w:rsidRDefault="00000000" w:rsidP="00D44EFD">
      <w:pPr>
        <w:keepNext/>
        <w:spacing w:before="120" w:after="0" w:line="240" w:lineRule="auto"/>
        <w:ind w:left="567"/>
        <w:rPr>
          <w:rFonts w:cs="Times"/>
          <w:color w:val="003300"/>
          <w:szCs w:val="24"/>
        </w:rPr>
      </w:pPr>
      <w:hyperlink r:id="rId14" w:history="1">
        <w:r w:rsidR="00D44EFD" w:rsidRPr="00D44EFD">
          <w:rPr>
            <w:rStyle w:val="Lienhypertexte"/>
            <w:rFonts w:cs="Times"/>
            <w:szCs w:val="24"/>
          </w:rPr>
          <w:t>Arrêté du 21 novembre 2022</w:t>
        </w:r>
      </w:hyperlink>
      <w:r w:rsidR="00D44EFD" w:rsidRPr="00D44EFD">
        <w:rPr>
          <w:rFonts w:cs="Times"/>
          <w:color w:val="003300"/>
          <w:szCs w:val="24"/>
        </w:rPr>
        <w:t xml:space="preserve"> portant rémunération DGOPH pris pour l'application de l'article R. 421-20 du code de la construction et de l'habitation</w:t>
      </w:r>
    </w:p>
    <w:p w14:paraId="17D13BC7" w14:textId="6C62551E" w:rsidR="00E935A2" w:rsidRDefault="00AB002C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77877252" w14:textId="2CB478D2" w:rsidR="004E7F81" w:rsidRDefault="00BA55CB" w:rsidP="00C17153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Les élus au rapport –</w:t>
      </w:r>
      <w:r>
        <w:rPr>
          <w:color w:val="003300"/>
        </w:rPr>
        <w:t xml:space="preserve"> L’exemple est celui de la mutualisation : il faut faire de la paperasse (le rapport) qui n’emporte aucun effet juridique. Et donc il faut le faire….</w:t>
      </w:r>
    </w:p>
    <w:p w14:paraId="228BCD6F" w14:textId="31DB870D" w:rsidR="00BA55CB" w:rsidRDefault="00000000" w:rsidP="00BA55CB">
      <w:pPr>
        <w:spacing w:before="120" w:after="0" w:line="240" w:lineRule="auto"/>
        <w:ind w:left="567"/>
        <w:rPr>
          <w:color w:val="003300"/>
        </w:rPr>
      </w:pPr>
      <w:hyperlink r:id="rId15" w:history="1">
        <w:r w:rsidR="00BA55CB" w:rsidRPr="00BA55CB">
          <w:rPr>
            <w:rStyle w:val="Lienhypertexte"/>
          </w:rPr>
          <w:t>Réponse Martin n° 1375,</w:t>
        </w:r>
      </w:hyperlink>
      <w:r w:rsidR="00BA55CB">
        <w:rPr>
          <w:color w:val="003300"/>
        </w:rPr>
        <w:t xml:space="preserve"> JOAN 27/12/22 p. 6671</w:t>
      </w:r>
    </w:p>
    <w:p w14:paraId="4DD8DD1B" w14:textId="76B812E3" w:rsidR="00BA55CB" w:rsidRDefault="00BA55CB" w:rsidP="00BA55CB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FCTVA –</w:t>
      </w:r>
      <w:r>
        <w:rPr>
          <w:color w:val="003300"/>
        </w:rPr>
        <w:t xml:space="preserve"> Pas de mise en œuvre pour les terrains et leurs aménagement et l’on n’envisage pas de changer.</w:t>
      </w:r>
    </w:p>
    <w:p w14:paraId="0EB974F8" w14:textId="7C86AB13" w:rsidR="00BA55CB" w:rsidRDefault="00000000" w:rsidP="00BA55CB">
      <w:pPr>
        <w:spacing w:before="120" w:after="0" w:line="240" w:lineRule="auto"/>
        <w:ind w:left="567"/>
        <w:rPr>
          <w:color w:val="003300"/>
        </w:rPr>
      </w:pPr>
      <w:hyperlink r:id="rId16" w:history="1">
        <w:r w:rsidR="00BA55CB" w:rsidRPr="00BA55CB">
          <w:rPr>
            <w:rStyle w:val="Lienhypertexte"/>
          </w:rPr>
          <w:t xml:space="preserve">Réponse </w:t>
        </w:r>
        <w:proofErr w:type="spellStart"/>
        <w:r w:rsidR="00BA55CB" w:rsidRPr="00BA55CB">
          <w:rPr>
            <w:rStyle w:val="Lienhypertexte"/>
          </w:rPr>
          <w:t>Montaugé</w:t>
        </w:r>
        <w:proofErr w:type="spellEnd"/>
        <w:r w:rsidR="00BA55CB" w:rsidRPr="00BA55CB">
          <w:rPr>
            <w:rStyle w:val="Lienhypertexte"/>
          </w:rPr>
          <w:t xml:space="preserve"> 03308</w:t>
        </w:r>
      </w:hyperlink>
      <w:r w:rsidR="00BA55CB">
        <w:rPr>
          <w:color w:val="003300"/>
        </w:rPr>
        <w:t>, JO Sénat 22/12/22, p. 6636</w:t>
      </w:r>
    </w:p>
    <w:p w14:paraId="555E02F8" w14:textId="22308D9A" w:rsidR="00BA55CB" w:rsidRDefault="00000000" w:rsidP="00BA55CB">
      <w:pPr>
        <w:spacing w:before="120" w:after="0" w:line="240" w:lineRule="auto"/>
        <w:ind w:left="567"/>
        <w:rPr>
          <w:color w:val="003300"/>
        </w:rPr>
      </w:pPr>
      <w:hyperlink r:id="rId17" w:history="1">
        <w:r w:rsidR="00BA55CB" w:rsidRPr="00BA55CB">
          <w:rPr>
            <w:rStyle w:val="Lienhypertexte"/>
          </w:rPr>
          <w:t xml:space="preserve">Réponse </w:t>
        </w:r>
        <w:proofErr w:type="spellStart"/>
        <w:r w:rsidR="00BA55CB" w:rsidRPr="00BA55CB">
          <w:rPr>
            <w:rStyle w:val="Lienhypertexte"/>
          </w:rPr>
          <w:t>Engrand</w:t>
        </w:r>
        <w:proofErr w:type="spellEnd"/>
        <w:r w:rsidR="00BA55CB" w:rsidRPr="00BA55CB">
          <w:rPr>
            <w:rStyle w:val="Lienhypertexte"/>
          </w:rPr>
          <w:t xml:space="preserve"> n° 2676</w:t>
        </w:r>
      </w:hyperlink>
      <w:r w:rsidR="00BA55CB">
        <w:rPr>
          <w:color w:val="003300"/>
        </w:rPr>
        <w:t>, JOAN 20/12/22, p. 6455</w:t>
      </w:r>
    </w:p>
    <w:p w14:paraId="3BB5219D" w14:textId="57E83313" w:rsidR="007C5D4A" w:rsidRDefault="00000000" w:rsidP="00BA55CB">
      <w:pPr>
        <w:spacing w:before="120" w:after="0" w:line="240" w:lineRule="auto"/>
        <w:ind w:left="567"/>
        <w:rPr>
          <w:color w:val="003300"/>
        </w:rPr>
      </w:pPr>
      <w:hyperlink r:id="rId18" w:history="1">
        <w:r w:rsidR="007C5D4A" w:rsidRPr="007C5D4A">
          <w:rPr>
            <w:rStyle w:val="Lienhypertexte"/>
          </w:rPr>
          <w:t>Réponse Klinger n° 00933</w:t>
        </w:r>
      </w:hyperlink>
      <w:r w:rsidR="007C5D4A">
        <w:rPr>
          <w:color w:val="003300"/>
        </w:rPr>
        <w:t>, JO Sénat 8/12/22, p. 6368</w:t>
      </w:r>
    </w:p>
    <w:p w14:paraId="01FC4549" w14:textId="350B29CB" w:rsidR="007C5D4A" w:rsidRPr="00BA55CB" w:rsidRDefault="00000000" w:rsidP="00BA55CB">
      <w:pPr>
        <w:spacing w:before="120" w:after="0" w:line="240" w:lineRule="auto"/>
        <w:ind w:left="567"/>
        <w:rPr>
          <w:color w:val="003300"/>
        </w:rPr>
      </w:pPr>
      <w:hyperlink r:id="rId19" w:history="1">
        <w:r w:rsidR="007C5D4A" w:rsidRPr="007C5D4A">
          <w:rPr>
            <w:rStyle w:val="Lienhypertexte"/>
          </w:rPr>
          <w:t>Réponse Marion n° 2002</w:t>
        </w:r>
      </w:hyperlink>
      <w:r w:rsidR="007C5D4A">
        <w:rPr>
          <w:color w:val="003300"/>
        </w:rPr>
        <w:t>, JOAN 6/12/22, p. 6030</w:t>
      </w:r>
    </w:p>
    <w:p w14:paraId="3B621833" w14:textId="021EED6F" w:rsidR="00C17153" w:rsidRPr="00987CAB" w:rsidRDefault="00C17153" w:rsidP="00C17153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  <w:r w:rsidRPr="006320BB">
        <w:rPr>
          <w:rFonts w:cs="Times"/>
          <w:b/>
          <w:szCs w:val="24"/>
        </w:rPr>
        <w:t xml:space="preserve"> </w:t>
      </w:r>
    </w:p>
    <w:p w14:paraId="16D86CB3" w14:textId="7F6FDD44" w:rsidR="004E7F81" w:rsidRPr="00263111" w:rsidRDefault="00263111" w:rsidP="009A34E8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Indemnisation du maître d’ouvrage –</w:t>
      </w:r>
      <w:r>
        <w:rPr>
          <w:color w:val="003300"/>
        </w:rPr>
        <w:t xml:space="preserve"> TTC si la TVA est récupérée par le FCTVA ou HT si elle est récupérée par la voie fiscale.</w:t>
      </w:r>
    </w:p>
    <w:p w14:paraId="52BE92EA" w14:textId="3F5D6B90" w:rsidR="00263111" w:rsidRPr="00263111" w:rsidRDefault="00263111" w:rsidP="00263111">
      <w:pPr>
        <w:spacing w:before="120" w:after="0" w:line="240" w:lineRule="auto"/>
        <w:ind w:left="567"/>
      </w:pPr>
      <w:r w:rsidRPr="00263111">
        <w:t xml:space="preserve">CAA de NANTES, 4ème chambre, 16/12/2022, </w:t>
      </w:r>
      <w:hyperlink r:id="rId20" w:history="1">
        <w:r w:rsidRPr="00263111">
          <w:rPr>
            <w:rStyle w:val="Lienhypertexte"/>
          </w:rPr>
          <w:t>21NT02355</w:t>
        </w:r>
      </w:hyperlink>
    </w:p>
    <w:p w14:paraId="139FD342" w14:textId="7DF44428" w:rsidR="008E1544" w:rsidRPr="00987CAB" w:rsidRDefault="001F3614" w:rsidP="009A34E8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3BDE89E4" w14:textId="5B3BE5DA" w:rsidR="00371A32" w:rsidRPr="00263111" w:rsidRDefault="00263111" w:rsidP="00371A32">
      <w:pPr>
        <w:spacing w:before="120" w:after="0" w:line="240" w:lineRule="auto"/>
        <w:jc w:val="left"/>
        <w:rPr>
          <w:color w:val="003300"/>
        </w:rPr>
      </w:pPr>
      <w:r>
        <w:rPr>
          <w:color w:val="003300"/>
          <w:u w:val="single"/>
        </w:rPr>
        <w:t>Les entreprises publiques locales –</w:t>
      </w:r>
      <w:r>
        <w:rPr>
          <w:color w:val="003300"/>
        </w:rPr>
        <w:t xml:space="preserve"> Dernier guide fait par le </w:t>
      </w:r>
      <w:r w:rsidR="00D44EFD">
        <w:rPr>
          <w:color w:val="003300"/>
        </w:rPr>
        <w:t>c</w:t>
      </w:r>
      <w:r>
        <w:rPr>
          <w:color w:val="003300"/>
        </w:rPr>
        <w:t xml:space="preserve">abinet </w:t>
      </w:r>
      <w:proofErr w:type="spellStart"/>
      <w:r w:rsidR="00D44EFD">
        <w:rPr>
          <w:color w:val="003300"/>
        </w:rPr>
        <w:t>Se</w:t>
      </w:r>
      <w:r>
        <w:rPr>
          <w:color w:val="003300"/>
        </w:rPr>
        <w:t>ban</w:t>
      </w:r>
      <w:proofErr w:type="spellEnd"/>
      <w:r w:rsidR="00D44EFD">
        <w:rPr>
          <w:color w:val="003300"/>
        </w:rPr>
        <w:t>.</w:t>
      </w:r>
    </w:p>
    <w:p w14:paraId="2192C5D7" w14:textId="1D37CD7A" w:rsidR="004E7F81" w:rsidRPr="00263111" w:rsidRDefault="00000000" w:rsidP="00263111">
      <w:pPr>
        <w:spacing w:before="120" w:after="0" w:line="240" w:lineRule="auto"/>
        <w:ind w:left="567"/>
        <w:jc w:val="left"/>
        <w:rPr>
          <w:color w:val="003300"/>
        </w:rPr>
      </w:pPr>
      <w:hyperlink r:id="rId21" w:history="1">
        <w:r w:rsidR="00263111" w:rsidRPr="00263111">
          <w:rPr>
            <w:rStyle w:val="Lienhypertexte"/>
          </w:rPr>
          <w:t>Guide des directeurs d’EPL</w:t>
        </w:r>
      </w:hyperlink>
    </w:p>
    <w:p w14:paraId="3389E912" w14:textId="4CBF1B46" w:rsidR="00263111" w:rsidRPr="00263111" w:rsidRDefault="00263111" w:rsidP="00371A32">
      <w:pPr>
        <w:spacing w:before="120" w:after="0" w:line="240" w:lineRule="auto"/>
        <w:jc w:val="left"/>
        <w:rPr>
          <w:color w:val="003300"/>
        </w:rPr>
      </w:pPr>
    </w:p>
    <w:p w14:paraId="5A862E0F" w14:textId="77777777" w:rsidR="00263111" w:rsidRPr="00263111" w:rsidRDefault="00263111" w:rsidP="00371A32">
      <w:pPr>
        <w:spacing w:before="120" w:after="0" w:line="240" w:lineRule="auto"/>
        <w:jc w:val="left"/>
        <w:rPr>
          <w:color w:val="003300"/>
        </w:rPr>
      </w:pPr>
    </w:p>
    <w:p w14:paraId="6E1B19DF" w14:textId="2A7A9623" w:rsidR="00142627" w:rsidRDefault="00142627" w:rsidP="003F4FEE">
      <w:pPr>
        <w:spacing w:before="120" w:after="0" w:line="240" w:lineRule="auto"/>
        <w:ind w:left="567"/>
        <w:jc w:val="left"/>
      </w:pPr>
      <w:r>
        <w:br w:type="page"/>
      </w:r>
    </w:p>
    <w:p w14:paraId="2649CADA" w14:textId="727B20BB" w:rsidR="0012059E" w:rsidRDefault="00BC38F3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AE2122">
        <w:rPr>
          <w:rFonts w:ascii="Times New Roman" w:hAnsi="Times New Roman"/>
          <w:b/>
          <w:szCs w:val="24"/>
        </w:rPr>
        <w:lastRenderedPageBreak/>
        <w:t>Les actualités</w:t>
      </w:r>
      <w:r w:rsidR="003558DA" w:rsidRPr="00AE2122">
        <w:rPr>
          <w:rFonts w:ascii="Times New Roman" w:hAnsi="Times New Roman"/>
          <w:b/>
          <w:szCs w:val="24"/>
        </w:rPr>
        <w:t xml:space="preserve"> fiscales</w:t>
      </w:r>
    </w:p>
    <w:p w14:paraId="78A3A71B" w14:textId="35926DA9" w:rsidR="00635DCD" w:rsidRDefault="00635DCD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</w:p>
    <w:p w14:paraId="4D85C569" w14:textId="1FF31EE5" w:rsidR="00D409D2" w:rsidRDefault="00D409D2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</w:p>
    <w:p w14:paraId="68C3B943" w14:textId="77777777" w:rsidR="00D409D2" w:rsidRDefault="00000000" w:rsidP="00D409D2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2" w:tooltip="28/12/2022 : TVA - Précisions doctrinales relatives aux subventions et aux indemnités - Jurisprudence (CJUE, arrêt du 23 décembre 2015, affaires C-250/14 et C-289/14, Air France-KLM) - Mise à jour suite à consultation publique" w:history="1">
        <w:r w:rsidR="00D409D2">
          <w:rPr>
            <w:rStyle w:val="Lienhypertexte"/>
            <w:rFonts w:ascii="Open Sans" w:hAnsi="Open Sans" w:cs="Open Sans"/>
            <w:sz w:val="21"/>
            <w:szCs w:val="21"/>
          </w:rPr>
          <w:t>28/12/2022 : TVA - Précisions doctrinales relatives aux subventions et aux indemnités - Jurisprudence (CJUE, arrêt du 23 décembre 2015, affaires C-250/14 et C-289/14, Air France-KLM) - Mise à jour suite à consultation publique</w:t>
        </w:r>
      </w:hyperlink>
    </w:p>
    <w:p w14:paraId="2288F3D9" w14:textId="77777777" w:rsidR="00D409D2" w:rsidRDefault="00000000" w:rsidP="00D409D2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3" w:tooltip="28/12/2022 : TCA - Composantes de la taxe générale sur les activités polluantes portant sur les matériaux d'extraction, les lessives et les émissions polluantes - Mise à jour suite à consultation publique" w:history="1">
        <w:r w:rsidR="00D409D2">
          <w:rPr>
            <w:rStyle w:val="Lienhypertexte"/>
            <w:rFonts w:ascii="Open Sans" w:hAnsi="Open Sans" w:cs="Open Sans"/>
            <w:sz w:val="21"/>
            <w:szCs w:val="21"/>
          </w:rPr>
          <w:t>28/12/2022 : TCA - Composantes de la taxe générale sur les activités polluantes portant sur les matériaux d'extraction, les lessives et les émissions polluantes - Mise à jour suite à consultation publique</w:t>
        </w:r>
      </w:hyperlink>
    </w:p>
    <w:p w14:paraId="3947AE67" w14:textId="77777777" w:rsidR="00D409D2" w:rsidRDefault="00000000" w:rsidP="00D409D2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4" w:tooltip="28/12/2022 : IF - Exonération et réduction de base de cotisation foncière des entreprises (CFE) en faveur des coopératives agricoles, de leurs unions et des sociétés d'intérêt collectif agricole (SICA) - Eligibilité des coopératives, de leurs unions et des SIC" w:history="1">
        <w:r w:rsidR="00D409D2">
          <w:rPr>
            <w:rStyle w:val="Lienhypertexte"/>
            <w:rFonts w:ascii="Open Sans" w:hAnsi="Open Sans" w:cs="Open Sans"/>
            <w:sz w:val="21"/>
            <w:szCs w:val="21"/>
          </w:rPr>
          <w:t>28/12/2022 : IF - Exonération et réduction de base de cotisation foncière des entreprises (CFE) en faveur des coopératives agricoles, de leurs unions et des sociétés d'intérêt collectif agricole (SICA) - Eligibilité des coopératives, de leurs unions et des SICA émettant des titres participatifs (CGI, art. 1451, I-1° et 2° et CGI, art. 1468, I-1°)</w:t>
        </w:r>
      </w:hyperlink>
    </w:p>
    <w:p w14:paraId="7BF61850" w14:textId="77777777" w:rsidR="004E7F81" w:rsidRDefault="00000000" w:rsidP="004E7F8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5" w:tooltip="21/12/2022 : BIC - IS - BA - BNC - Aménagements des modalités d'application du dispositif temporaire de déductibilité de l'amortissement constaté au titre des fonds commerciaux (loi n° 2022-1157 du 16 août 2022 de finances rectificative pour 2022, art. 7)" w:history="1">
        <w:r w:rsidR="004E7F81">
          <w:rPr>
            <w:rStyle w:val="Lienhypertexte"/>
            <w:rFonts w:ascii="Open Sans" w:hAnsi="Open Sans" w:cs="Open Sans"/>
            <w:sz w:val="21"/>
            <w:szCs w:val="21"/>
          </w:rPr>
          <w:t>21/12/2022 : BIC - IS - BA - BNC - Aménagements des modalités d'application du dispositif temporaire de déductibilité de l'amortissement constaté au titre des fonds commerciaux (loi n° 2022-1157 du 16 août 2022 de finances rectificative pour 2022, art. 7)</w:t>
        </w:r>
      </w:hyperlink>
    </w:p>
    <w:p w14:paraId="1578BA24" w14:textId="77777777" w:rsidR="004E7F81" w:rsidRDefault="00000000" w:rsidP="004E7F8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6" w:tooltip="21/12/2022 : BIC - Éligibilité des sociétés de transport à l’exonération d'impôt sur les bénéfices en zone de revitalisation rurale (ZRR) prévue à l’article 44 quindecies du CGI - Rescrit" w:history="1">
        <w:r w:rsidR="004E7F81">
          <w:rPr>
            <w:rStyle w:val="Lienhypertexte"/>
            <w:rFonts w:ascii="Open Sans" w:hAnsi="Open Sans" w:cs="Open Sans"/>
            <w:sz w:val="21"/>
            <w:szCs w:val="21"/>
          </w:rPr>
          <w:t>21/12/2022 : BIC - Éligibilité des sociétés de transport à l’exonération d'impôt sur les bénéfices en zone de revitalisation rurale (ZRR) prévue à l’article 44 quindecies du CGI - Rescrit</w:t>
        </w:r>
      </w:hyperlink>
    </w:p>
    <w:p w14:paraId="65E1DE6B" w14:textId="77777777" w:rsidR="004E7F81" w:rsidRDefault="00000000" w:rsidP="004E7F8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7" w:tooltip="21/12/2022 : TVA - Exigibilité de la TVA sur les acomptes perçus dans le cadre de livraisons de biens (loi n° 2021-1900 du 30 décembre 2021 de finances pour 2022, art. 30, I-8°)" w:history="1">
        <w:r w:rsidR="004E7F81" w:rsidRPr="004E7F81">
          <w:rPr>
            <w:rStyle w:val="Lienhypertexte"/>
            <w:rFonts w:ascii="Open Sans" w:hAnsi="Open Sans" w:cs="Open Sans"/>
            <w:sz w:val="21"/>
            <w:szCs w:val="21"/>
            <w:highlight w:val="green"/>
          </w:rPr>
          <w:t>21/12/2022 : TVA - Exigibilité de la TVA sur les acomptes perçus dans le cadre de livraisons de biens (loi n° 2021-1900 du 30 décembre 2021 de finances pour 2022, art. 30, I-8°)</w:t>
        </w:r>
      </w:hyperlink>
    </w:p>
    <w:p w14:paraId="1FA05D98" w14:textId="77777777" w:rsidR="004E7F81" w:rsidRDefault="00000000" w:rsidP="004E7F8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8" w:tooltip="21/12/2022 : TCA - Taxe sur les transactions financières - Mise à jour de la liste des sociétés dont la capitalisation boursière dépasse un milliard d'euros au 1er décembre 2022" w:history="1">
        <w:r w:rsidR="004E7F81">
          <w:rPr>
            <w:rStyle w:val="Lienhypertexte"/>
            <w:rFonts w:ascii="Open Sans" w:hAnsi="Open Sans" w:cs="Open Sans"/>
            <w:sz w:val="21"/>
            <w:szCs w:val="21"/>
          </w:rPr>
          <w:t>21/12/2022 : TCA - Taxe sur les transactions financières - Mise à jour de la liste des sociétés dont la capitalisation boursière dépasse un milliard d'euros au 1er décembre 2022</w:t>
        </w:r>
      </w:hyperlink>
    </w:p>
    <w:p w14:paraId="58A76A9A" w14:textId="77777777" w:rsidR="004E7F81" w:rsidRDefault="00000000" w:rsidP="004E7F8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29" w:tooltip="21/12/2022 : TFP - Fixation des montants de l'imposition forfaitaire sur les pylônes au titre de 2023 (CGI, art. 1519 A)" w:history="1">
        <w:r w:rsidR="004E7F81">
          <w:rPr>
            <w:rStyle w:val="Lienhypertexte"/>
            <w:rFonts w:ascii="Open Sans" w:hAnsi="Open Sans" w:cs="Open Sans"/>
            <w:sz w:val="21"/>
            <w:szCs w:val="21"/>
          </w:rPr>
          <w:t>21/12/2022 : TFP - Fixation des montants de l'imposition forfaitaire sur les pylônes au titre de 2023 (CGI, art. 1519 A)</w:t>
        </w:r>
      </w:hyperlink>
    </w:p>
    <w:p w14:paraId="17849EE9" w14:textId="77777777" w:rsidR="004E7F81" w:rsidRDefault="00000000" w:rsidP="004E7F8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0" w:tooltip="21/12/2022 : BIC - IF - Prorogation des exonérations fiscales applicables dans les zones d’aide à finalité régionale (AFR) (loi n° 2020-1721 du 29 décembre 2020 de finances pour 2021, art. 223, I-1° et loi n° 2021-1900 du 30 décembre 2021 de finances pour 2022" w:history="1">
        <w:r w:rsidR="004E7F81">
          <w:rPr>
            <w:rStyle w:val="Lienhypertexte"/>
            <w:rFonts w:ascii="Open Sans" w:hAnsi="Open Sans" w:cs="Open Sans"/>
            <w:sz w:val="21"/>
            <w:szCs w:val="21"/>
          </w:rPr>
          <w:t>21/12/2022 : BIC - IF - Prorogation des exonérations fiscales applicables dans les zones d’aide à finalité régionale (AFR) (loi n° 2020-1721 du 29 décembre 2020 de finances pour 2021, art. 223, I-1° et loi n° 2021-1900 du 30 décembre 2021 de finances pour 2022, art. 68, I-1°) et publication de la nouvelle carte française des zones AFR et des zones d'aide à l'investissement des petites et moyennes entreprises pour la période 2022-2027 (décret n° 2022-968 du 30 juin 2022)</w:t>
        </w:r>
      </w:hyperlink>
    </w:p>
    <w:p w14:paraId="4EAC0A07" w14:textId="77777777" w:rsidR="004E7F81" w:rsidRDefault="00000000" w:rsidP="004E7F8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1" w:tooltip="15/12/2022 : RSA - BNC - Régime d’imposition des rémunérations perçues par les associés des sociétés d’exercice libéral au titre de l’exercice d’une activité libérale au sein de ces sociétés - Jurisprudences (CE, décision du 16 octobre 2013, n° 339822 et CE, d" w:history="1">
        <w:r w:rsidR="004E7F81">
          <w:rPr>
            <w:rStyle w:val="Lienhypertexte"/>
            <w:rFonts w:ascii="Open Sans" w:hAnsi="Open Sans" w:cs="Open Sans"/>
            <w:sz w:val="21"/>
            <w:szCs w:val="21"/>
          </w:rPr>
          <w:t>15/12/2022 : RSA - BNC - Régime d’imposition des rémunérations perçues par les associés des sociétés d’exercice libéral au titre de l’exercice d’une activité libérale au sein de ces sociétés - Jurisprudences (CE, décision du 16 octobre 2013, n° 339822 et CE, décision du 8 décembre 2017, n° 409429) - Publication urgente</w:t>
        </w:r>
      </w:hyperlink>
    </w:p>
    <w:p w14:paraId="3F1DB9A0" w14:textId="77777777" w:rsidR="004E7F81" w:rsidRDefault="00000000" w:rsidP="004E7F8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2" w:tooltip="07/12/2022 : RPPM - Précisions relatives aux modalités d'application du report d'imposition prévu à l'article 150-0 B ter du CGI - Rescrits" w:history="1">
        <w:r w:rsidR="004E7F81">
          <w:rPr>
            <w:rStyle w:val="Lienhypertexte"/>
            <w:rFonts w:ascii="Open Sans" w:hAnsi="Open Sans" w:cs="Open Sans"/>
            <w:sz w:val="21"/>
            <w:szCs w:val="21"/>
          </w:rPr>
          <w:t>07/12/2022 : RPPM - Précisions relatives aux modalités d'application du report d'imposition prévu à l'article 150-0 B ter du CGI - Rescrits</w:t>
        </w:r>
      </w:hyperlink>
    </w:p>
    <w:p w14:paraId="75C15E0C" w14:textId="77777777" w:rsidR="004E7F81" w:rsidRDefault="00000000" w:rsidP="004E7F8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3" w:tooltip="07/12/2022 : TCA - Actualisation pour 2023 du barème des contributions sur les boissons non alcooliques" w:history="1">
        <w:r w:rsidR="004E7F81">
          <w:rPr>
            <w:rStyle w:val="Lienhypertexte"/>
            <w:rFonts w:ascii="Open Sans" w:hAnsi="Open Sans" w:cs="Open Sans"/>
            <w:sz w:val="21"/>
            <w:szCs w:val="21"/>
          </w:rPr>
          <w:t>07/12/2022 : TCA - Actualisation pour 2023 du barème des contributions sur les boissons non alcooliques</w:t>
        </w:r>
      </w:hyperlink>
    </w:p>
    <w:p w14:paraId="784BAF5A" w14:textId="77777777" w:rsidR="004E7F81" w:rsidRDefault="00000000" w:rsidP="004E7F81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1"/>
          <w:szCs w:val="21"/>
        </w:rPr>
      </w:pPr>
      <w:hyperlink r:id="rId34" w:tooltip="07/12/2022 : TCA - Actualisation pour 2023 des tarifs de taxe générale sur les activités polluantes" w:history="1">
        <w:r w:rsidR="004E7F81">
          <w:rPr>
            <w:rStyle w:val="Lienhypertexte"/>
            <w:rFonts w:ascii="Open Sans" w:hAnsi="Open Sans" w:cs="Open Sans"/>
            <w:sz w:val="21"/>
            <w:szCs w:val="21"/>
          </w:rPr>
          <w:t>07/12/2022 : TCA - Actualisation pour 2023 des tarifs de taxe générale sur les activités polluantes</w:t>
        </w:r>
      </w:hyperlink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35"/>
      <w:headerReference w:type="first" r:id="rId36"/>
      <w:footerReference w:type="first" r:id="rId37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160DC" w14:textId="77777777" w:rsidR="0005702A" w:rsidRDefault="0005702A">
      <w:r>
        <w:separator/>
      </w:r>
    </w:p>
  </w:endnote>
  <w:endnote w:type="continuationSeparator" w:id="0">
    <w:p w14:paraId="417108C5" w14:textId="77777777" w:rsidR="0005702A" w:rsidRDefault="00057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0BEAF2-28AE-48CA-BE78-6B389E0F2285}"/>
    <w:embedBold r:id="rId2" w:fontKey="{FABB7308-0B42-412B-B5C2-C6E03D8E02E4}"/>
    <w:embedBoldItalic r:id="rId3" w:fontKey="{C3889332-A398-4003-84A3-9BD3D83711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ABE81D1B-5736-4819-BDA8-AD37831932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B9C215AF-524C-4D92-9900-FBDE68C51DD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A2716DF7-CA69-4B6C-905D-7E877EEA9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AC7D6" w14:textId="77777777" w:rsidR="0005702A" w:rsidRDefault="0005702A">
      <w:r>
        <w:separator/>
      </w:r>
    </w:p>
  </w:footnote>
  <w:footnote w:type="continuationSeparator" w:id="0">
    <w:p w14:paraId="2430275A" w14:textId="77777777" w:rsidR="0005702A" w:rsidRDefault="00057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</w:t>
          </w:r>
          <w:r w:rsidRPr="00CB4970">
            <w:rPr>
              <w:rFonts w:ascii="Times New Roman" w:hAnsi="Times New Roman"/>
              <w:sz w:val="22"/>
              <w:szCs w:val="22"/>
              <w:lang w:eastAsia="en-US"/>
            </w:rPr>
            <w:t>groupe</w:t>
          </w:r>
          <w:r w:rsidRPr="00CB4970">
            <w:rPr>
              <w:rFonts w:ascii="Calibri" w:hAnsi="Calibri"/>
              <w:sz w:val="22"/>
              <w:szCs w:val="22"/>
              <w:lang w:eastAsia="en-US"/>
            </w:rPr>
            <w:t xml:space="preserve"> </w:t>
          </w:r>
        </w:p>
        <w:p w14:paraId="3332AA0A" w14:textId="7DEE7CC5" w:rsidR="009311BB" w:rsidRDefault="009311BB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FILENAME   \* MERGEFORMAT </w:instrText>
          </w:r>
          <w:r>
            <w:rPr>
              <w:sz w:val="20"/>
            </w:rPr>
            <w:fldChar w:fldCharType="separate"/>
          </w:r>
          <w:r w:rsidR="009A2244">
            <w:rPr>
              <w:noProof/>
              <w:sz w:val="20"/>
            </w:rPr>
            <w:t>Comptes-La revue -2022-11</w:t>
          </w:r>
          <w:r>
            <w:rPr>
              <w:sz w:val="20"/>
            </w:rPr>
            <w:fldChar w:fldCharType="end"/>
          </w:r>
        </w:p>
        <w:p w14:paraId="6D4A75FB" w14:textId="6CF03A33" w:rsidR="00E72D0D" w:rsidRPr="0048009B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5B17F0">
            <w:rPr>
              <w:sz w:val="20"/>
            </w:rPr>
            <w:t>29</w:t>
          </w:r>
          <w:r w:rsidR="00635DCD">
            <w:rPr>
              <w:sz w:val="20"/>
            </w:rPr>
            <w:t xml:space="preserve"> </w:t>
          </w:r>
          <w:r w:rsidR="004E7F81">
            <w:rPr>
              <w:sz w:val="20"/>
            </w:rPr>
            <w:t>décembre</w:t>
          </w:r>
          <w:r w:rsidR="008D4B4D">
            <w:rPr>
              <w:sz w:val="20"/>
            </w:rPr>
            <w:t xml:space="preserve"> </w:t>
          </w:r>
          <w:r>
            <w:rPr>
              <w:sz w:val="20"/>
            </w:rPr>
            <w:t>202</w:t>
          </w:r>
          <w:r w:rsidR="00307714">
            <w:rPr>
              <w:sz w:val="20"/>
            </w:rPr>
            <w:t>2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proofErr w:type="spellStart"/>
          <w:r w:rsidRPr="00F5762B">
            <w:rPr>
              <w:color w:val="143300"/>
              <w:spacing w:val="16"/>
              <w:w w:val="97"/>
              <w:sz w:val="20"/>
            </w:rPr>
            <w:t>s.a.r.l.</w:t>
          </w:r>
          <w:proofErr w:type="spellEnd"/>
          <w:r w:rsidRPr="00F5762B">
            <w:rPr>
              <w:color w:val="143300"/>
              <w:spacing w:val="16"/>
              <w:w w:val="97"/>
              <w:sz w:val="20"/>
            </w:rPr>
            <w:t xml:space="preserve">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552E0"/>
    <w:multiLevelType w:val="multilevel"/>
    <w:tmpl w:val="29180B3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68180745">
    <w:abstractNumId w:val="1"/>
  </w:num>
  <w:num w:numId="2" w16cid:durableId="1885019750">
    <w:abstractNumId w:val="0"/>
  </w:num>
  <w:num w:numId="3" w16cid:durableId="18344229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2FEE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0A8E"/>
    <w:rsid w:val="00011025"/>
    <w:rsid w:val="0001190E"/>
    <w:rsid w:val="00011DB0"/>
    <w:rsid w:val="00011E15"/>
    <w:rsid w:val="00012401"/>
    <w:rsid w:val="00012D11"/>
    <w:rsid w:val="000147D2"/>
    <w:rsid w:val="00014A4D"/>
    <w:rsid w:val="00014AD5"/>
    <w:rsid w:val="000150EF"/>
    <w:rsid w:val="00015715"/>
    <w:rsid w:val="00015C95"/>
    <w:rsid w:val="000163EC"/>
    <w:rsid w:val="00016A1A"/>
    <w:rsid w:val="00017A6A"/>
    <w:rsid w:val="00020F5E"/>
    <w:rsid w:val="0002163A"/>
    <w:rsid w:val="00021BFC"/>
    <w:rsid w:val="000222C8"/>
    <w:rsid w:val="00022CC5"/>
    <w:rsid w:val="000232E9"/>
    <w:rsid w:val="00024E6E"/>
    <w:rsid w:val="000255CB"/>
    <w:rsid w:val="000265C2"/>
    <w:rsid w:val="00030F8C"/>
    <w:rsid w:val="00032F29"/>
    <w:rsid w:val="00033DAC"/>
    <w:rsid w:val="00034C4B"/>
    <w:rsid w:val="00034E80"/>
    <w:rsid w:val="00034F2A"/>
    <w:rsid w:val="000359AC"/>
    <w:rsid w:val="0003696E"/>
    <w:rsid w:val="00036CCB"/>
    <w:rsid w:val="000373EB"/>
    <w:rsid w:val="00040819"/>
    <w:rsid w:val="000413B1"/>
    <w:rsid w:val="00041735"/>
    <w:rsid w:val="00043591"/>
    <w:rsid w:val="00045332"/>
    <w:rsid w:val="00045433"/>
    <w:rsid w:val="00045B52"/>
    <w:rsid w:val="000467C1"/>
    <w:rsid w:val="00046CB6"/>
    <w:rsid w:val="00046E70"/>
    <w:rsid w:val="0005057B"/>
    <w:rsid w:val="00050B4B"/>
    <w:rsid w:val="000511EB"/>
    <w:rsid w:val="00051274"/>
    <w:rsid w:val="00051EAE"/>
    <w:rsid w:val="00051ECF"/>
    <w:rsid w:val="0005293C"/>
    <w:rsid w:val="00052F47"/>
    <w:rsid w:val="00053101"/>
    <w:rsid w:val="00053719"/>
    <w:rsid w:val="00053B9A"/>
    <w:rsid w:val="00054E28"/>
    <w:rsid w:val="00055D3E"/>
    <w:rsid w:val="00055DB6"/>
    <w:rsid w:val="00056194"/>
    <w:rsid w:val="0005702A"/>
    <w:rsid w:val="00057782"/>
    <w:rsid w:val="0006013C"/>
    <w:rsid w:val="000608F2"/>
    <w:rsid w:val="0006108E"/>
    <w:rsid w:val="00063997"/>
    <w:rsid w:val="00064590"/>
    <w:rsid w:val="00064C94"/>
    <w:rsid w:val="0006549E"/>
    <w:rsid w:val="0006655B"/>
    <w:rsid w:val="000678EE"/>
    <w:rsid w:val="00067B60"/>
    <w:rsid w:val="00067DAC"/>
    <w:rsid w:val="00067E8F"/>
    <w:rsid w:val="000717C8"/>
    <w:rsid w:val="00072E8A"/>
    <w:rsid w:val="00073476"/>
    <w:rsid w:val="000739C9"/>
    <w:rsid w:val="00073CD6"/>
    <w:rsid w:val="000745B8"/>
    <w:rsid w:val="00074933"/>
    <w:rsid w:val="00074A38"/>
    <w:rsid w:val="000758F5"/>
    <w:rsid w:val="00076849"/>
    <w:rsid w:val="00076EFC"/>
    <w:rsid w:val="00076F36"/>
    <w:rsid w:val="00080DE8"/>
    <w:rsid w:val="00080F60"/>
    <w:rsid w:val="00081001"/>
    <w:rsid w:val="00084540"/>
    <w:rsid w:val="00084558"/>
    <w:rsid w:val="00084B1E"/>
    <w:rsid w:val="00090564"/>
    <w:rsid w:val="00090E39"/>
    <w:rsid w:val="00091823"/>
    <w:rsid w:val="00091C56"/>
    <w:rsid w:val="000933BB"/>
    <w:rsid w:val="0009376D"/>
    <w:rsid w:val="00094A9B"/>
    <w:rsid w:val="0009759D"/>
    <w:rsid w:val="00097B99"/>
    <w:rsid w:val="000A06CA"/>
    <w:rsid w:val="000A2212"/>
    <w:rsid w:val="000A2611"/>
    <w:rsid w:val="000A2638"/>
    <w:rsid w:val="000A4E49"/>
    <w:rsid w:val="000A508A"/>
    <w:rsid w:val="000A5861"/>
    <w:rsid w:val="000A608C"/>
    <w:rsid w:val="000B229D"/>
    <w:rsid w:val="000B2BDF"/>
    <w:rsid w:val="000B2F8C"/>
    <w:rsid w:val="000B436B"/>
    <w:rsid w:val="000B4704"/>
    <w:rsid w:val="000B4A1D"/>
    <w:rsid w:val="000B5BF0"/>
    <w:rsid w:val="000B7095"/>
    <w:rsid w:val="000B7908"/>
    <w:rsid w:val="000B79A7"/>
    <w:rsid w:val="000B7F18"/>
    <w:rsid w:val="000C140B"/>
    <w:rsid w:val="000C2AF7"/>
    <w:rsid w:val="000C2F92"/>
    <w:rsid w:val="000C3667"/>
    <w:rsid w:val="000C3A9D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4DDA"/>
    <w:rsid w:val="000D4FA8"/>
    <w:rsid w:val="000D608B"/>
    <w:rsid w:val="000D778A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2418"/>
    <w:rsid w:val="000F33AC"/>
    <w:rsid w:val="000F42E7"/>
    <w:rsid w:val="000F4552"/>
    <w:rsid w:val="000F47ED"/>
    <w:rsid w:val="000F5BDB"/>
    <w:rsid w:val="000F60CB"/>
    <w:rsid w:val="000F73B1"/>
    <w:rsid w:val="000F744C"/>
    <w:rsid w:val="000F7BEE"/>
    <w:rsid w:val="0010058A"/>
    <w:rsid w:val="00100BDC"/>
    <w:rsid w:val="00100CC9"/>
    <w:rsid w:val="00101247"/>
    <w:rsid w:val="00101993"/>
    <w:rsid w:val="00101DEE"/>
    <w:rsid w:val="00101E9F"/>
    <w:rsid w:val="00101F55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5450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27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66C50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6E"/>
    <w:rsid w:val="001806EE"/>
    <w:rsid w:val="0018125E"/>
    <w:rsid w:val="001818D6"/>
    <w:rsid w:val="00181C60"/>
    <w:rsid w:val="00186A42"/>
    <w:rsid w:val="0018763A"/>
    <w:rsid w:val="00187BAA"/>
    <w:rsid w:val="0019021F"/>
    <w:rsid w:val="001905F7"/>
    <w:rsid w:val="001917A8"/>
    <w:rsid w:val="00191A3E"/>
    <w:rsid w:val="00191A77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151B"/>
    <w:rsid w:val="001A57A4"/>
    <w:rsid w:val="001A6131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3D9E"/>
    <w:rsid w:val="001B4427"/>
    <w:rsid w:val="001B4789"/>
    <w:rsid w:val="001B5458"/>
    <w:rsid w:val="001B6D1A"/>
    <w:rsid w:val="001B6EBE"/>
    <w:rsid w:val="001B756A"/>
    <w:rsid w:val="001C1A2B"/>
    <w:rsid w:val="001C2124"/>
    <w:rsid w:val="001C2FF5"/>
    <w:rsid w:val="001C3651"/>
    <w:rsid w:val="001C43AB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5D0A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987"/>
    <w:rsid w:val="001F7999"/>
    <w:rsid w:val="001F7BC4"/>
    <w:rsid w:val="002001A9"/>
    <w:rsid w:val="00200679"/>
    <w:rsid w:val="00201E77"/>
    <w:rsid w:val="00202AC9"/>
    <w:rsid w:val="002035CE"/>
    <w:rsid w:val="0020427F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17853"/>
    <w:rsid w:val="002205A0"/>
    <w:rsid w:val="00220666"/>
    <w:rsid w:val="00220967"/>
    <w:rsid w:val="00220C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26E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5330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2B44"/>
    <w:rsid w:val="00252FB6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7BA"/>
    <w:rsid w:val="00260C14"/>
    <w:rsid w:val="00260F74"/>
    <w:rsid w:val="00263111"/>
    <w:rsid w:val="00263615"/>
    <w:rsid w:val="0026400E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02B"/>
    <w:rsid w:val="00274C25"/>
    <w:rsid w:val="00275BF0"/>
    <w:rsid w:val="00275C45"/>
    <w:rsid w:val="00276933"/>
    <w:rsid w:val="00276CC5"/>
    <w:rsid w:val="0028027C"/>
    <w:rsid w:val="00280519"/>
    <w:rsid w:val="0028138C"/>
    <w:rsid w:val="002824CD"/>
    <w:rsid w:val="002835EC"/>
    <w:rsid w:val="0028407D"/>
    <w:rsid w:val="00284217"/>
    <w:rsid w:val="00285054"/>
    <w:rsid w:val="002855B4"/>
    <w:rsid w:val="0028566B"/>
    <w:rsid w:val="002857CF"/>
    <w:rsid w:val="00285E77"/>
    <w:rsid w:val="00285F6E"/>
    <w:rsid w:val="002863CA"/>
    <w:rsid w:val="00290E48"/>
    <w:rsid w:val="002913D8"/>
    <w:rsid w:val="00292773"/>
    <w:rsid w:val="00292A50"/>
    <w:rsid w:val="002943E7"/>
    <w:rsid w:val="00295D75"/>
    <w:rsid w:val="00295DF1"/>
    <w:rsid w:val="00295E1C"/>
    <w:rsid w:val="00296558"/>
    <w:rsid w:val="002976C6"/>
    <w:rsid w:val="00297A54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A7430"/>
    <w:rsid w:val="002B0DFA"/>
    <w:rsid w:val="002B278C"/>
    <w:rsid w:val="002B68E8"/>
    <w:rsid w:val="002B7698"/>
    <w:rsid w:val="002C0A4B"/>
    <w:rsid w:val="002C0EAD"/>
    <w:rsid w:val="002C1D26"/>
    <w:rsid w:val="002C1F50"/>
    <w:rsid w:val="002C26DA"/>
    <w:rsid w:val="002C4782"/>
    <w:rsid w:val="002C5621"/>
    <w:rsid w:val="002C5801"/>
    <w:rsid w:val="002C5F84"/>
    <w:rsid w:val="002C6EF2"/>
    <w:rsid w:val="002C7CD2"/>
    <w:rsid w:val="002D136E"/>
    <w:rsid w:val="002D1AD7"/>
    <w:rsid w:val="002D1B9A"/>
    <w:rsid w:val="002D38A3"/>
    <w:rsid w:val="002D3AAA"/>
    <w:rsid w:val="002D485D"/>
    <w:rsid w:val="002D48F6"/>
    <w:rsid w:val="002D53C6"/>
    <w:rsid w:val="002D5C47"/>
    <w:rsid w:val="002D69F3"/>
    <w:rsid w:val="002E0E51"/>
    <w:rsid w:val="002E168C"/>
    <w:rsid w:val="002E1995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E7D5A"/>
    <w:rsid w:val="002F1763"/>
    <w:rsid w:val="002F1A39"/>
    <w:rsid w:val="002F1EFD"/>
    <w:rsid w:val="002F1FEE"/>
    <w:rsid w:val="002F2D32"/>
    <w:rsid w:val="002F311F"/>
    <w:rsid w:val="002F3416"/>
    <w:rsid w:val="002F368F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93C"/>
    <w:rsid w:val="00303BBA"/>
    <w:rsid w:val="003052D0"/>
    <w:rsid w:val="003058B4"/>
    <w:rsid w:val="003070F0"/>
    <w:rsid w:val="00307714"/>
    <w:rsid w:val="00310252"/>
    <w:rsid w:val="00311C52"/>
    <w:rsid w:val="0031254A"/>
    <w:rsid w:val="00312B49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271C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6BC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BD0"/>
    <w:rsid w:val="00354C5C"/>
    <w:rsid w:val="00355727"/>
    <w:rsid w:val="00355889"/>
    <w:rsid w:val="003558DA"/>
    <w:rsid w:val="00355A4A"/>
    <w:rsid w:val="003565C4"/>
    <w:rsid w:val="003572B4"/>
    <w:rsid w:val="003572CE"/>
    <w:rsid w:val="0036090D"/>
    <w:rsid w:val="00360BC3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A32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3D04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3E93"/>
    <w:rsid w:val="00394087"/>
    <w:rsid w:val="00394E62"/>
    <w:rsid w:val="003952A4"/>
    <w:rsid w:val="0039714F"/>
    <w:rsid w:val="0039753C"/>
    <w:rsid w:val="003977E9"/>
    <w:rsid w:val="003A02C8"/>
    <w:rsid w:val="003A0560"/>
    <w:rsid w:val="003A0B86"/>
    <w:rsid w:val="003A1B8D"/>
    <w:rsid w:val="003A1BB5"/>
    <w:rsid w:val="003A1F76"/>
    <w:rsid w:val="003A2D13"/>
    <w:rsid w:val="003A2EC4"/>
    <w:rsid w:val="003A354B"/>
    <w:rsid w:val="003A4E93"/>
    <w:rsid w:val="003A5688"/>
    <w:rsid w:val="003A56E6"/>
    <w:rsid w:val="003A590E"/>
    <w:rsid w:val="003A5C06"/>
    <w:rsid w:val="003A61C3"/>
    <w:rsid w:val="003A6CB6"/>
    <w:rsid w:val="003A6CC6"/>
    <w:rsid w:val="003B01F9"/>
    <w:rsid w:val="003B0210"/>
    <w:rsid w:val="003B063C"/>
    <w:rsid w:val="003B0EC1"/>
    <w:rsid w:val="003B18B4"/>
    <w:rsid w:val="003B1F77"/>
    <w:rsid w:val="003B3A1B"/>
    <w:rsid w:val="003B3DDE"/>
    <w:rsid w:val="003B434F"/>
    <w:rsid w:val="003B5B63"/>
    <w:rsid w:val="003B6A85"/>
    <w:rsid w:val="003B70A3"/>
    <w:rsid w:val="003B70C5"/>
    <w:rsid w:val="003B715D"/>
    <w:rsid w:val="003C0356"/>
    <w:rsid w:val="003C0719"/>
    <w:rsid w:val="003C0A8D"/>
    <w:rsid w:val="003C2C29"/>
    <w:rsid w:val="003C2ED7"/>
    <w:rsid w:val="003C2F94"/>
    <w:rsid w:val="003C300E"/>
    <w:rsid w:val="003C3102"/>
    <w:rsid w:val="003C380A"/>
    <w:rsid w:val="003C4CF0"/>
    <w:rsid w:val="003C5765"/>
    <w:rsid w:val="003C576E"/>
    <w:rsid w:val="003C6E07"/>
    <w:rsid w:val="003D2EBE"/>
    <w:rsid w:val="003D3492"/>
    <w:rsid w:val="003D36E0"/>
    <w:rsid w:val="003D50FE"/>
    <w:rsid w:val="003D6394"/>
    <w:rsid w:val="003D66A1"/>
    <w:rsid w:val="003D67EC"/>
    <w:rsid w:val="003D703C"/>
    <w:rsid w:val="003E0649"/>
    <w:rsid w:val="003E0924"/>
    <w:rsid w:val="003E11D2"/>
    <w:rsid w:val="003E1C16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4FEE"/>
    <w:rsid w:val="003F5AD9"/>
    <w:rsid w:val="003F63A5"/>
    <w:rsid w:val="003F7378"/>
    <w:rsid w:val="003F7CBF"/>
    <w:rsid w:val="004002FC"/>
    <w:rsid w:val="004004B3"/>
    <w:rsid w:val="004020D6"/>
    <w:rsid w:val="00404D35"/>
    <w:rsid w:val="00405000"/>
    <w:rsid w:val="00405026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67CC"/>
    <w:rsid w:val="00417B6E"/>
    <w:rsid w:val="004224FC"/>
    <w:rsid w:val="00423031"/>
    <w:rsid w:val="004234B1"/>
    <w:rsid w:val="004234C2"/>
    <w:rsid w:val="004235B7"/>
    <w:rsid w:val="004235EB"/>
    <w:rsid w:val="0042642B"/>
    <w:rsid w:val="00426620"/>
    <w:rsid w:val="004269B3"/>
    <w:rsid w:val="00426AED"/>
    <w:rsid w:val="004270D6"/>
    <w:rsid w:val="004274B5"/>
    <w:rsid w:val="00427B66"/>
    <w:rsid w:val="00430286"/>
    <w:rsid w:val="00430F52"/>
    <w:rsid w:val="0043114C"/>
    <w:rsid w:val="004316A3"/>
    <w:rsid w:val="00432481"/>
    <w:rsid w:val="004324DE"/>
    <w:rsid w:val="00432754"/>
    <w:rsid w:val="00432C69"/>
    <w:rsid w:val="00432F68"/>
    <w:rsid w:val="004330DD"/>
    <w:rsid w:val="00433A4A"/>
    <w:rsid w:val="00434165"/>
    <w:rsid w:val="00434F5E"/>
    <w:rsid w:val="004353E9"/>
    <w:rsid w:val="0043628A"/>
    <w:rsid w:val="004378F6"/>
    <w:rsid w:val="004408BD"/>
    <w:rsid w:val="00440D9A"/>
    <w:rsid w:val="00441404"/>
    <w:rsid w:val="00443D11"/>
    <w:rsid w:val="00444832"/>
    <w:rsid w:val="00444918"/>
    <w:rsid w:val="00446A84"/>
    <w:rsid w:val="00446E57"/>
    <w:rsid w:val="00447043"/>
    <w:rsid w:val="004472FF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12C"/>
    <w:rsid w:val="0046364B"/>
    <w:rsid w:val="00464131"/>
    <w:rsid w:val="00465EB9"/>
    <w:rsid w:val="004666AB"/>
    <w:rsid w:val="00466EFA"/>
    <w:rsid w:val="004705FE"/>
    <w:rsid w:val="00470DB0"/>
    <w:rsid w:val="004710C4"/>
    <w:rsid w:val="00471472"/>
    <w:rsid w:val="0047157D"/>
    <w:rsid w:val="00471BF9"/>
    <w:rsid w:val="00473669"/>
    <w:rsid w:val="00473722"/>
    <w:rsid w:val="00473F70"/>
    <w:rsid w:val="004749CE"/>
    <w:rsid w:val="00474A1F"/>
    <w:rsid w:val="00474A3B"/>
    <w:rsid w:val="004757BA"/>
    <w:rsid w:val="004763DE"/>
    <w:rsid w:val="0047692A"/>
    <w:rsid w:val="00477C56"/>
    <w:rsid w:val="0048009B"/>
    <w:rsid w:val="00480114"/>
    <w:rsid w:val="004809CC"/>
    <w:rsid w:val="00481AE1"/>
    <w:rsid w:val="00482840"/>
    <w:rsid w:val="00482B5E"/>
    <w:rsid w:val="0048404A"/>
    <w:rsid w:val="00484256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6BCC"/>
    <w:rsid w:val="00497436"/>
    <w:rsid w:val="00497669"/>
    <w:rsid w:val="004977FC"/>
    <w:rsid w:val="004978D1"/>
    <w:rsid w:val="00497923"/>
    <w:rsid w:val="00497E8E"/>
    <w:rsid w:val="004A15E8"/>
    <w:rsid w:val="004A1AC2"/>
    <w:rsid w:val="004A3CE9"/>
    <w:rsid w:val="004A4451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22E5"/>
    <w:rsid w:val="004C3414"/>
    <w:rsid w:val="004C4D76"/>
    <w:rsid w:val="004C4F7F"/>
    <w:rsid w:val="004C555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3C13"/>
    <w:rsid w:val="004E462E"/>
    <w:rsid w:val="004E4A29"/>
    <w:rsid w:val="004E610E"/>
    <w:rsid w:val="004E70F8"/>
    <w:rsid w:val="004E75DE"/>
    <w:rsid w:val="004E7F81"/>
    <w:rsid w:val="004F01ED"/>
    <w:rsid w:val="004F2F6E"/>
    <w:rsid w:val="004F45B4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4F42"/>
    <w:rsid w:val="005056CB"/>
    <w:rsid w:val="005056D4"/>
    <w:rsid w:val="00506AB0"/>
    <w:rsid w:val="0050713B"/>
    <w:rsid w:val="00510EDE"/>
    <w:rsid w:val="00510FAA"/>
    <w:rsid w:val="0051280B"/>
    <w:rsid w:val="0051398C"/>
    <w:rsid w:val="00513D92"/>
    <w:rsid w:val="00514746"/>
    <w:rsid w:val="00515B4C"/>
    <w:rsid w:val="00515B62"/>
    <w:rsid w:val="00516DD0"/>
    <w:rsid w:val="00517A5E"/>
    <w:rsid w:val="005204C8"/>
    <w:rsid w:val="00521D81"/>
    <w:rsid w:val="0052227C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AD8"/>
    <w:rsid w:val="00537C0B"/>
    <w:rsid w:val="005406C6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772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5099"/>
    <w:rsid w:val="00596118"/>
    <w:rsid w:val="00596796"/>
    <w:rsid w:val="00596CAA"/>
    <w:rsid w:val="00596DF4"/>
    <w:rsid w:val="00597BC4"/>
    <w:rsid w:val="005A0AFA"/>
    <w:rsid w:val="005A14FA"/>
    <w:rsid w:val="005A17CC"/>
    <w:rsid w:val="005A2410"/>
    <w:rsid w:val="005A3009"/>
    <w:rsid w:val="005A391C"/>
    <w:rsid w:val="005A3DCB"/>
    <w:rsid w:val="005B14F7"/>
    <w:rsid w:val="005B17F0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1CEC"/>
    <w:rsid w:val="005C28B5"/>
    <w:rsid w:val="005C3B04"/>
    <w:rsid w:val="005C4353"/>
    <w:rsid w:val="005C569A"/>
    <w:rsid w:val="005C6D8D"/>
    <w:rsid w:val="005C6F7E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426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1461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6F9"/>
    <w:rsid w:val="006157FE"/>
    <w:rsid w:val="0062013B"/>
    <w:rsid w:val="00621292"/>
    <w:rsid w:val="006218A1"/>
    <w:rsid w:val="00621E61"/>
    <w:rsid w:val="006220C8"/>
    <w:rsid w:val="0062257E"/>
    <w:rsid w:val="006237A2"/>
    <w:rsid w:val="00623BBA"/>
    <w:rsid w:val="00625F3B"/>
    <w:rsid w:val="006264C5"/>
    <w:rsid w:val="00626D2B"/>
    <w:rsid w:val="0062736E"/>
    <w:rsid w:val="006277B1"/>
    <w:rsid w:val="00630AC8"/>
    <w:rsid w:val="00631D11"/>
    <w:rsid w:val="00631F8F"/>
    <w:rsid w:val="006320BB"/>
    <w:rsid w:val="00632299"/>
    <w:rsid w:val="006323FC"/>
    <w:rsid w:val="0063278A"/>
    <w:rsid w:val="00633A42"/>
    <w:rsid w:val="00635679"/>
    <w:rsid w:val="00635CC4"/>
    <w:rsid w:val="00635CCA"/>
    <w:rsid w:val="00635CD3"/>
    <w:rsid w:val="00635DCD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1AEB"/>
    <w:rsid w:val="006524AC"/>
    <w:rsid w:val="006528EB"/>
    <w:rsid w:val="0065370B"/>
    <w:rsid w:val="006542AC"/>
    <w:rsid w:val="00654B08"/>
    <w:rsid w:val="00655DA9"/>
    <w:rsid w:val="00655DED"/>
    <w:rsid w:val="006560DD"/>
    <w:rsid w:val="00656A11"/>
    <w:rsid w:val="00656C51"/>
    <w:rsid w:val="0065734B"/>
    <w:rsid w:val="00657777"/>
    <w:rsid w:val="00657E6B"/>
    <w:rsid w:val="00661E97"/>
    <w:rsid w:val="00661F14"/>
    <w:rsid w:val="00663294"/>
    <w:rsid w:val="00664A5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3C"/>
    <w:rsid w:val="006766AA"/>
    <w:rsid w:val="006769C0"/>
    <w:rsid w:val="00676C38"/>
    <w:rsid w:val="00677288"/>
    <w:rsid w:val="0068129B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29"/>
    <w:rsid w:val="006B14A5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1EE"/>
    <w:rsid w:val="006C32B1"/>
    <w:rsid w:val="006C379F"/>
    <w:rsid w:val="006C3993"/>
    <w:rsid w:val="006C3A49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B"/>
    <w:rsid w:val="006D4BCF"/>
    <w:rsid w:val="006D6729"/>
    <w:rsid w:val="006D682F"/>
    <w:rsid w:val="006D6E4D"/>
    <w:rsid w:val="006E0830"/>
    <w:rsid w:val="006E1119"/>
    <w:rsid w:val="006E12CD"/>
    <w:rsid w:val="006E2068"/>
    <w:rsid w:val="006E239A"/>
    <w:rsid w:val="006E28C0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49E"/>
    <w:rsid w:val="006F6E9D"/>
    <w:rsid w:val="006F745B"/>
    <w:rsid w:val="0070004B"/>
    <w:rsid w:val="00700064"/>
    <w:rsid w:val="00700736"/>
    <w:rsid w:val="007009D0"/>
    <w:rsid w:val="00701A79"/>
    <w:rsid w:val="00702F17"/>
    <w:rsid w:val="007057B2"/>
    <w:rsid w:val="007058D3"/>
    <w:rsid w:val="00705CF1"/>
    <w:rsid w:val="0070640B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239"/>
    <w:rsid w:val="00715D8B"/>
    <w:rsid w:val="007163BD"/>
    <w:rsid w:val="007169E2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BF"/>
    <w:rsid w:val="00740AD6"/>
    <w:rsid w:val="00741C59"/>
    <w:rsid w:val="0074247D"/>
    <w:rsid w:val="00742D0E"/>
    <w:rsid w:val="00745E54"/>
    <w:rsid w:val="0075001F"/>
    <w:rsid w:val="00750174"/>
    <w:rsid w:val="00750761"/>
    <w:rsid w:val="0075173A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47DB"/>
    <w:rsid w:val="0076518B"/>
    <w:rsid w:val="007656D9"/>
    <w:rsid w:val="00766D10"/>
    <w:rsid w:val="00767081"/>
    <w:rsid w:val="007677C1"/>
    <w:rsid w:val="007678F5"/>
    <w:rsid w:val="0077111C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670"/>
    <w:rsid w:val="00784A19"/>
    <w:rsid w:val="00785461"/>
    <w:rsid w:val="00786227"/>
    <w:rsid w:val="0078656D"/>
    <w:rsid w:val="00786866"/>
    <w:rsid w:val="00786E3F"/>
    <w:rsid w:val="0078761B"/>
    <w:rsid w:val="0078772C"/>
    <w:rsid w:val="00790A4C"/>
    <w:rsid w:val="007919E6"/>
    <w:rsid w:val="00791DEA"/>
    <w:rsid w:val="00792072"/>
    <w:rsid w:val="007926A6"/>
    <w:rsid w:val="00792C08"/>
    <w:rsid w:val="00793416"/>
    <w:rsid w:val="00793B2E"/>
    <w:rsid w:val="007948C1"/>
    <w:rsid w:val="007953C3"/>
    <w:rsid w:val="007965D7"/>
    <w:rsid w:val="00796F33"/>
    <w:rsid w:val="007971DD"/>
    <w:rsid w:val="00797B31"/>
    <w:rsid w:val="007A0CFC"/>
    <w:rsid w:val="007A123D"/>
    <w:rsid w:val="007A1451"/>
    <w:rsid w:val="007A4A2C"/>
    <w:rsid w:val="007A4FCF"/>
    <w:rsid w:val="007A52CA"/>
    <w:rsid w:val="007A5811"/>
    <w:rsid w:val="007A68BF"/>
    <w:rsid w:val="007B0938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5D4A"/>
    <w:rsid w:val="007C7005"/>
    <w:rsid w:val="007C78AB"/>
    <w:rsid w:val="007C7EA0"/>
    <w:rsid w:val="007D1E38"/>
    <w:rsid w:val="007D2B85"/>
    <w:rsid w:val="007D3487"/>
    <w:rsid w:val="007D38B2"/>
    <w:rsid w:val="007D4F88"/>
    <w:rsid w:val="007D582D"/>
    <w:rsid w:val="007D5C3B"/>
    <w:rsid w:val="007D640A"/>
    <w:rsid w:val="007D6651"/>
    <w:rsid w:val="007D6790"/>
    <w:rsid w:val="007D7878"/>
    <w:rsid w:val="007E1978"/>
    <w:rsid w:val="007E1F47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38F"/>
    <w:rsid w:val="008276B1"/>
    <w:rsid w:val="00830052"/>
    <w:rsid w:val="00830B35"/>
    <w:rsid w:val="00830C31"/>
    <w:rsid w:val="00831AB8"/>
    <w:rsid w:val="00833E6A"/>
    <w:rsid w:val="00834743"/>
    <w:rsid w:val="00834F05"/>
    <w:rsid w:val="008362B6"/>
    <w:rsid w:val="00836AA1"/>
    <w:rsid w:val="0083731E"/>
    <w:rsid w:val="00842002"/>
    <w:rsid w:val="00842B79"/>
    <w:rsid w:val="008441AC"/>
    <w:rsid w:val="008442CC"/>
    <w:rsid w:val="00846F04"/>
    <w:rsid w:val="00846F7F"/>
    <w:rsid w:val="008475FA"/>
    <w:rsid w:val="00847B9B"/>
    <w:rsid w:val="00851CD5"/>
    <w:rsid w:val="00851D59"/>
    <w:rsid w:val="00852A6E"/>
    <w:rsid w:val="008532E8"/>
    <w:rsid w:val="008532F8"/>
    <w:rsid w:val="00854432"/>
    <w:rsid w:val="00854CFE"/>
    <w:rsid w:val="00854D09"/>
    <w:rsid w:val="00855B7D"/>
    <w:rsid w:val="00856CF2"/>
    <w:rsid w:val="00861BE7"/>
    <w:rsid w:val="00861E0F"/>
    <w:rsid w:val="00862039"/>
    <w:rsid w:val="00862E2B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28D0"/>
    <w:rsid w:val="00883E47"/>
    <w:rsid w:val="0088441B"/>
    <w:rsid w:val="008853AF"/>
    <w:rsid w:val="00885A0C"/>
    <w:rsid w:val="00886EB9"/>
    <w:rsid w:val="00887193"/>
    <w:rsid w:val="00887E2A"/>
    <w:rsid w:val="00890109"/>
    <w:rsid w:val="0089129E"/>
    <w:rsid w:val="008916C8"/>
    <w:rsid w:val="00892795"/>
    <w:rsid w:val="00895168"/>
    <w:rsid w:val="00895B96"/>
    <w:rsid w:val="00896C31"/>
    <w:rsid w:val="008A16AA"/>
    <w:rsid w:val="008A22C9"/>
    <w:rsid w:val="008A263B"/>
    <w:rsid w:val="008A3559"/>
    <w:rsid w:val="008A3ACD"/>
    <w:rsid w:val="008A3BD3"/>
    <w:rsid w:val="008A3D8A"/>
    <w:rsid w:val="008A48C0"/>
    <w:rsid w:val="008A5AF5"/>
    <w:rsid w:val="008A73F6"/>
    <w:rsid w:val="008B00D6"/>
    <w:rsid w:val="008B057E"/>
    <w:rsid w:val="008B1C42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638F"/>
    <w:rsid w:val="008C7B97"/>
    <w:rsid w:val="008C7BA3"/>
    <w:rsid w:val="008C7CAF"/>
    <w:rsid w:val="008D0664"/>
    <w:rsid w:val="008D1B8B"/>
    <w:rsid w:val="008D336E"/>
    <w:rsid w:val="008D44A6"/>
    <w:rsid w:val="008D4B4D"/>
    <w:rsid w:val="008D4FDA"/>
    <w:rsid w:val="008D5B7E"/>
    <w:rsid w:val="008D7187"/>
    <w:rsid w:val="008E014D"/>
    <w:rsid w:val="008E149A"/>
    <w:rsid w:val="008E1544"/>
    <w:rsid w:val="008E2C31"/>
    <w:rsid w:val="008E2E8E"/>
    <w:rsid w:val="008E34A6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068CE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11BB"/>
    <w:rsid w:val="0093264A"/>
    <w:rsid w:val="00932844"/>
    <w:rsid w:val="00932D95"/>
    <w:rsid w:val="00933A69"/>
    <w:rsid w:val="00934E58"/>
    <w:rsid w:val="00935507"/>
    <w:rsid w:val="00935968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78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4FAF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87CAB"/>
    <w:rsid w:val="00990583"/>
    <w:rsid w:val="0099095E"/>
    <w:rsid w:val="00990B2C"/>
    <w:rsid w:val="00990E89"/>
    <w:rsid w:val="0099114A"/>
    <w:rsid w:val="00991A63"/>
    <w:rsid w:val="00991B7D"/>
    <w:rsid w:val="009921A4"/>
    <w:rsid w:val="00993304"/>
    <w:rsid w:val="00993AFB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244"/>
    <w:rsid w:val="009A25E1"/>
    <w:rsid w:val="009A34E8"/>
    <w:rsid w:val="009A432C"/>
    <w:rsid w:val="009A5072"/>
    <w:rsid w:val="009A5554"/>
    <w:rsid w:val="009A593C"/>
    <w:rsid w:val="009A5ACF"/>
    <w:rsid w:val="009A62B8"/>
    <w:rsid w:val="009A6963"/>
    <w:rsid w:val="009B0DAA"/>
    <w:rsid w:val="009B19A7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1CF1"/>
    <w:rsid w:val="009D22C8"/>
    <w:rsid w:val="009D2DDD"/>
    <w:rsid w:val="009D3A89"/>
    <w:rsid w:val="009D3F05"/>
    <w:rsid w:val="009D3FE7"/>
    <w:rsid w:val="009D51C6"/>
    <w:rsid w:val="009D6A48"/>
    <w:rsid w:val="009D7031"/>
    <w:rsid w:val="009D74E3"/>
    <w:rsid w:val="009D760D"/>
    <w:rsid w:val="009E07BE"/>
    <w:rsid w:val="009E0B14"/>
    <w:rsid w:val="009E23B9"/>
    <w:rsid w:val="009E335B"/>
    <w:rsid w:val="009E391C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1A4"/>
    <w:rsid w:val="009F58E4"/>
    <w:rsid w:val="009F5B5A"/>
    <w:rsid w:val="009F702B"/>
    <w:rsid w:val="009F739A"/>
    <w:rsid w:val="00A00360"/>
    <w:rsid w:val="00A006C6"/>
    <w:rsid w:val="00A01213"/>
    <w:rsid w:val="00A01F77"/>
    <w:rsid w:val="00A02B88"/>
    <w:rsid w:val="00A030B3"/>
    <w:rsid w:val="00A04E89"/>
    <w:rsid w:val="00A04E9F"/>
    <w:rsid w:val="00A05CA0"/>
    <w:rsid w:val="00A07680"/>
    <w:rsid w:val="00A07C5E"/>
    <w:rsid w:val="00A1006C"/>
    <w:rsid w:val="00A11F22"/>
    <w:rsid w:val="00A12A3B"/>
    <w:rsid w:val="00A12BE6"/>
    <w:rsid w:val="00A12FD7"/>
    <w:rsid w:val="00A1513A"/>
    <w:rsid w:val="00A15228"/>
    <w:rsid w:val="00A155D6"/>
    <w:rsid w:val="00A159C6"/>
    <w:rsid w:val="00A159D1"/>
    <w:rsid w:val="00A15B3A"/>
    <w:rsid w:val="00A1614D"/>
    <w:rsid w:val="00A163CC"/>
    <w:rsid w:val="00A1679B"/>
    <w:rsid w:val="00A16B07"/>
    <w:rsid w:val="00A16C9A"/>
    <w:rsid w:val="00A17C32"/>
    <w:rsid w:val="00A2041D"/>
    <w:rsid w:val="00A20ED3"/>
    <w:rsid w:val="00A212EE"/>
    <w:rsid w:val="00A2187C"/>
    <w:rsid w:val="00A223F3"/>
    <w:rsid w:val="00A22DBC"/>
    <w:rsid w:val="00A23171"/>
    <w:rsid w:val="00A23362"/>
    <w:rsid w:val="00A235D5"/>
    <w:rsid w:val="00A23702"/>
    <w:rsid w:val="00A262C4"/>
    <w:rsid w:val="00A273B1"/>
    <w:rsid w:val="00A27C52"/>
    <w:rsid w:val="00A27F82"/>
    <w:rsid w:val="00A301EB"/>
    <w:rsid w:val="00A30866"/>
    <w:rsid w:val="00A30B77"/>
    <w:rsid w:val="00A31B49"/>
    <w:rsid w:val="00A3276C"/>
    <w:rsid w:val="00A3278E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46E49"/>
    <w:rsid w:val="00A50038"/>
    <w:rsid w:val="00A51137"/>
    <w:rsid w:val="00A516B8"/>
    <w:rsid w:val="00A527BA"/>
    <w:rsid w:val="00A53C4C"/>
    <w:rsid w:val="00A53EC7"/>
    <w:rsid w:val="00A547DC"/>
    <w:rsid w:val="00A55337"/>
    <w:rsid w:val="00A56417"/>
    <w:rsid w:val="00A576BA"/>
    <w:rsid w:val="00A57E3D"/>
    <w:rsid w:val="00A605B0"/>
    <w:rsid w:val="00A60C70"/>
    <w:rsid w:val="00A62518"/>
    <w:rsid w:val="00A62B7D"/>
    <w:rsid w:val="00A63B90"/>
    <w:rsid w:val="00A65A52"/>
    <w:rsid w:val="00A662F6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18BD"/>
    <w:rsid w:val="00A82046"/>
    <w:rsid w:val="00A83293"/>
    <w:rsid w:val="00A85592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930B2"/>
    <w:rsid w:val="00A94AC0"/>
    <w:rsid w:val="00AA0CF1"/>
    <w:rsid w:val="00AA108A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A7F"/>
    <w:rsid w:val="00AB4D45"/>
    <w:rsid w:val="00AB5B85"/>
    <w:rsid w:val="00AB6906"/>
    <w:rsid w:val="00AB6A89"/>
    <w:rsid w:val="00AB7858"/>
    <w:rsid w:val="00AB7A79"/>
    <w:rsid w:val="00AB7F89"/>
    <w:rsid w:val="00AC0915"/>
    <w:rsid w:val="00AC1199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10D5"/>
    <w:rsid w:val="00AD28F4"/>
    <w:rsid w:val="00AD7560"/>
    <w:rsid w:val="00AD7B2D"/>
    <w:rsid w:val="00AE01D9"/>
    <w:rsid w:val="00AE06A7"/>
    <w:rsid w:val="00AE2122"/>
    <w:rsid w:val="00AE338B"/>
    <w:rsid w:val="00AE3BCF"/>
    <w:rsid w:val="00AE4C80"/>
    <w:rsid w:val="00AE5339"/>
    <w:rsid w:val="00AE5AEB"/>
    <w:rsid w:val="00AE5BD9"/>
    <w:rsid w:val="00AE6C04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1494"/>
    <w:rsid w:val="00B12757"/>
    <w:rsid w:val="00B13BD4"/>
    <w:rsid w:val="00B169BA"/>
    <w:rsid w:val="00B17B53"/>
    <w:rsid w:val="00B17F28"/>
    <w:rsid w:val="00B2179C"/>
    <w:rsid w:val="00B21917"/>
    <w:rsid w:val="00B21923"/>
    <w:rsid w:val="00B21D87"/>
    <w:rsid w:val="00B2237F"/>
    <w:rsid w:val="00B22D97"/>
    <w:rsid w:val="00B2377C"/>
    <w:rsid w:val="00B238B6"/>
    <w:rsid w:val="00B24888"/>
    <w:rsid w:val="00B24A5D"/>
    <w:rsid w:val="00B25ECE"/>
    <w:rsid w:val="00B25F2D"/>
    <w:rsid w:val="00B264DE"/>
    <w:rsid w:val="00B27257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60A"/>
    <w:rsid w:val="00B40819"/>
    <w:rsid w:val="00B40AD8"/>
    <w:rsid w:val="00B40D84"/>
    <w:rsid w:val="00B410A9"/>
    <w:rsid w:val="00B423BE"/>
    <w:rsid w:val="00B448E8"/>
    <w:rsid w:val="00B46439"/>
    <w:rsid w:val="00B47A46"/>
    <w:rsid w:val="00B47B8F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DBC"/>
    <w:rsid w:val="00B56EEC"/>
    <w:rsid w:val="00B57A6F"/>
    <w:rsid w:val="00B57ABA"/>
    <w:rsid w:val="00B57E19"/>
    <w:rsid w:val="00B6031B"/>
    <w:rsid w:val="00B61CCB"/>
    <w:rsid w:val="00B6244D"/>
    <w:rsid w:val="00B62E57"/>
    <w:rsid w:val="00B6419C"/>
    <w:rsid w:val="00B6446F"/>
    <w:rsid w:val="00B6472D"/>
    <w:rsid w:val="00B655ED"/>
    <w:rsid w:val="00B65E0F"/>
    <w:rsid w:val="00B6650B"/>
    <w:rsid w:val="00B66519"/>
    <w:rsid w:val="00B679D5"/>
    <w:rsid w:val="00B70341"/>
    <w:rsid w:val="00B71805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8759D"/>
    <w:rsid w:val="00B91288"/>
    <w:rsid w:val="00B91815"/>
    <w:rsid w:val="00B91BD0"/>
    <w:rsid w:val="00B9232B"/>
    <w:rsid w:val="00B92CCE"/>
    <w:rsid w:val="00B92D12"/>
    <w:rsid w:val="00B92FC1"/>
    <w:rsid w:val="00B932BD"/>
    <w:rsid w:val="00B937E4"/>
    <w:rsid w:val="00B9448B"/>
    <w:rsid w:val="00B944A2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A55CB"/>
    <w:rsid w:val="00BB04FF"/>
    <w:rsid w:val="00BB0850"/>
    <w:rsid w:val="00BB37EC"/>
    <w:rsid w:val="00BB3A5E"/>
    <w:rsid w:val="00BB589A"/>
    <w:rsid w:val="00BB5A98"/>
    <w:rsid w:val="00BB6F75"/>
    <w:rsid w:val="00BB767E"/>
    <w:rsid w:val="00BB7CFE"/>
    <w:rsid w:val="00BC0BEB"/>
    <w:rsid w:val="00BC12E2"/>
    <w:rsid w:val="00BC29EE"/>
    <w:rsid w:val="00BC38F3"/>
    <w:rsid w:val="00BC58F2"/>
    <w:rsid w:val="00BC5BFF"/>
    <w:rsid w:val="00BC6458"/>
    <w:rsid w:val="00BD174A"/>
    <w:rsid w:val="00BD253C"/>
    <w:rsid w:val="00BD3099"/>
    <w:rsid w:val="00BD3259"/>
    <w:rsid w:val="00BD7137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0FF9"/>
    <w:rsid w:val="00BF17DA"/>
    <w:rsid w:val="00BF25B6"/>
    <w:rsid w:val="00BF3932"/>
    <w:rsid w:val="00BF4C16"/>
    <w:rsid w:val="00BF51C0"/>
    <w:rsid w:val="00BF559E"/>
    <w:rsid w:val="00BF7355"/>
    <w:rsid w:val="00C000E0"/>
    <w:rsid w:val="00C00E85"/>
    <w:rsid w:val="00C02055"/>
    <w:rsid w:val="00C03071"/>
    <w:rsid w:val="00C04067"/>
    <w:rsid w:val="00C040DF"/>
    <w:rsid w:val="00C04911"/>
    <w:rsid w:val="00C04AFD"/>
    <w:rsid w:val="00C056CE"/>
    <w:rsid w:val="00C05A2A"/>
    <w:rsid w:val="00C05E65"/>
    <w:rsid w:val="00C068A3"/>
    <w:rsid w:val="00C06C39"/>
    <w:rsid w:val="00C074DF"/>
    <w:rsid w:val="00C07D39"/>
    <w:rsid w:val="00C07D6A"/>
    <w:rsid w:val="00C1040E"/>
    <w:rsid w:val="00C106E9"/>
    <w:rsid w:val="00C10D37"/>
    <w:rsid w:val="00C1151E"/>
    <w:rsid w:val="00C11D16"/>
    <w:rsid w:val="00C11DC5"/>
    <w:rsid w:val="00C12B8F"/>
    <w:rsid w:val="00C135F7"/>
    <w:rsid w:val="00C138F4"/>
    <w:rsid w:val="00C1475F"/>
    <w:rsid w:val="00C16027"/>
    <w:rsid w:val="00C17153"/>
    <w:rsid w:val="00C2299B"/>
    <w:rsid w:val="00C22BBA"/>
    <w:rsid w:val="00C2403C"/>
    <w:rsid w:val="00C24920"/>
    <w:rsid w:val="00C255B1"/>
    <w:rsid w:val="00C26B09"/>
    <w:rsid w:val="00C26BCE"/>
    <w:rsid w:val="00C275DB"/>
    <w:rsid w:val="00C307AA"/>
    <w:rsid w:val="00C318E6"/>
    <w:rsid w:val="00C3273C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5F18"/>
    <w:rsid w:val="00C367B1"/>
    <w:rsid w:val="00C372A5"/>
    <w:rsid w:val="00C372C7"/>
    <w:rsid w:val="00C37F9C"/>
    <w:rsid w:val="00C40498"/>
    <w:rsid w:val="00C41A76"/>
    <w:rsid w:val="00C42C88"/>
    <w:rsid w:val="00C42CCE"/>
    <w:rsid w:val="00C43180"/>
    <w:rsid w:val="00C449CD"/>
    <w:rsid w:val="00C44ADF"/>
    <w:rsid w:val="00C45914"/>
    <w:rsid w:val="00C46423"/>
    <w:rsid w:val="00C50487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5D1A"/>
    <w:rsid w:val="00C56BF0"/>
    <w:rsid w:val="00C56E69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67D1D"/>
    <w:rsid w:val="00C729BC"/>
    <w:rsid w:val="00C72BBD"/>
    <w:rsid w:val="00C736BE"/>
    <w:rsid w:val="00C74A90"/>
    <w:rsid w:val="00C76722"/>
    <w:rsid w:val="00C771F0"/>
    <w:rsid w:val="00C800CC"/>
    <w:rsid w:val="00C8066A"/>
    <w:rsid w:val="00C815A2"/>
    <w:rsid w:val="00C829CB"/>
    <w:rsid w:val="00C8312E"/>
    <w:rsid w:val="00C83923"/>
    <w:rsid w:val="00C8400D"/>
    <w:rsid w:val="00C84455"/>
    <w:rsid w:val="00C860FA"/>
    <w:rsid w:val="00C8703C"/>
    <w:rsid w:val="00C874DF"/>
    <w:rsid w:val="00C87F4E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95F3E"/>
    <w:rsid w:val="00CA0463"/>
    <w:rsid w:val="00CA09B8"/>
    <w:rsid w:val="00CA1844"/>
    <w:rsid w:val="00CA26CC"/>
    <w:rsid w:val="00CA3583"/>
    <w:rsid w:val="00CA4EB1"/>
    <w:rsid w:val="00CA5564"/>
    <w:rsid w:val="00CA57F1"/>
    <w:rsid w:val="00CA673E"/>
    <w:rsid w:val="00CA6BDF"/>
    <w:rsid w:val="00CA72A7"/>
    <w:rsid w:val="00CB0111"/>
    <w:rsid w:val="00CB02AA"/>
    <w:rsid w:val="00CB0379"/>
    <w:rsid w:val="00CB2858"/>
    <w:rsid w:val="00CB2FC8"/>
    <w:rsid w:val="00CB4970"/>
    <w:rsid w:val="00CB504A"/>
    <w:rsid w:val="00CB5EAE"/>
    <w:rsid w:val="00CB61E2"/>
    <w:rsid w:val="00CB6BD0"/>
    <w:rsid w:val="00CB72CF"/>
    <w:rsid w:val="00CB7561"/>
    <w:rsid w:val="00CC0E4A"/>
    <w:rsid w:val="00CC1017"/>
    <w:rsid w:val="00CC11F5"/>
    <w:rsid w:val="00CC1351"/>
    <w:rsid w:val="00CC1B19"/>
    <w:rsid w:val="00CC1C9B"/>
    <w:rsid w:val="00CC3BED"/>
    <w:rsid w:val="00CC5472"/>
    <w:rsid w:val="00CC6F2D"/>
    <w:rsid w:val="00CC731B"/>
    <w:rsid w:val="00CC76A1"/>
    <w:rsid w:val="00CC7C12"/>
    <w:rsid w:val="00CD188A"/>
    <w:rsid w:val="00CD2E85"/>
    <w:rsid w:val="00CD38BA"/>
    <w:rsid w:val="00CD539F"/>
    <w:rsid w:val="00CD71E2"/>
    <w:rsid w:val="00CD79F1"/>
    <w:rsid w:val="00CE042A"/>
    <w:rsid w:val="00CE2031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2C07"/>
    <w:rsid w:val="00D031BD"/>
    <w:rsid w:val="00D039E8"/>
    <w:rsid w:val="00D042D1"/>
    <w:rsid w:val="00D04392"/>
    <w:rsid w:val="00D04802"/>
    <w:rsid w:val="00D04A09"/>
    <w:rsid w:val="00D051CA"/>
    <w:rsid w:val="00D05720"/>
    <w:rsid w:val="00D05BDF"/>
    <w:rsid w:val="00D067F2"/>
    <w:rsid w:val="00D07ABB"/>
    <w:rsid w:val="00D1259F"/>
    <w:rsid w:val="00D12904"/>
    <w:rsid w:val="00D155D9"/>
    <w:rsid w:val="00D1561B"/>
    <w:rsid w:val="00D1776D"/>
    <w:rsid w:val="00D17EE5"/>
    <w:rsid w:val="00D212B0"/>
    <w:rsid w:val="00D21D4A"/>
    <w:rsid w:val="00D2268A"/>
    <w:rsid w:val="00D24079"/>
    <w:rsid w:val="00D24426"/>
    <w:rsid w:val="00D245D9"/>
    <w:rsid w:val="00D24D70"/>
    <w:rsid w:val="00D24F94"/>
    <w:rsid w:val="00D2518A"/>
    <w:rsid w:val="00D254AD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09D2"/>
    <w:rsid w:val="00D43DAB"/>
    <w:rsid w:val="00D44EFD"/>
    <w:rsid w:val="00D47E79"/>
    <w:rsid w:val="00D50497"/>
    <w:rsid w:val="00D515CD"/>
    <w:rsid w:val="00D52601"/>
    <w:rsid w:val="00D53B9F"/>
    <w:rsid w:val="00D5408F"/>
    <w:rsid w:val="00D5473F"/>
    <w:rsid w:val="00D54EBA"/>
    <w:rsid w:val="00D5789E"/>
    <w:rsid w:val="00D60859"/>
    <w:rsid w:val="00D61614"/>
    <w:rsid w:val="00D616A1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7CB"/>
    <w:rsid w:val="00D67844"/>
    <w:rsid w:val="00D67DFD"/>
    <w:rsid w:val="00D71B09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3A1C"/>
    <w:rsid w:val="00D83E17"/>
    <w:rsid w:val="00D841F9"/>
    <w:rsid w:val="00D84B3B"/>
    <w:rsid w:val="00D85562"/>
    <w:rsid w:val="00D8577F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06E7"/>
    <w:rsid w:val="00DA1008"/>
    <w:rsid w:val="00DA1330"/>
    <w:rsid w:val="00DA1BF4"/>
    <w:rsid w:val="00DA3186"/>
    <w:rsid w:val="00DA3938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4F9A"/>
    <w:rsid w:val="00DB56D6"/>
    <w:rsid w:val="00DB78AB"/>
    <w:rsid w:val="00DC0290"/>
    <w:rsid w:val="00DC02A0"/>
    <w:rsid w:val="00DC0CD2"/>
    <w:rsid w:val="00DC115D"/>
    <w:rsid w:val="00DC1230"/>
    <w:rsid w:val="00DC13E9"/>
    <w:rsid w:val="00DC1D71"/>
    <w:rsid w:val="00DC2ED1"/>
    <w:rsid w:val="00DC3856"/>
    <w:rsid w:val="00DC4A35"/>
    <w:rsid w:val="00DC4DBE"/>
    <w:rsid w:val="00DC5692"/>
    <w:rsid w:val="00DC674C"/>
    <w:rsid w:val="00DC692D"/>
    <w:rsid w:val="00DC7059"/>
    <w:rsid w:val="00DC70CD"/>
    <w:rsid w:val="00DD1EDA"/>
    <w:rsid w:val="00DD2F49"/>
    <w:rsid w:val="00DD31BD"/>
    <w:rsid w:val="00DD5C0C"/>
    <w:rsid w:val="00DD6235"/>
    <w:rsid w:val="00DD697F"/>
    <w:rsid w:val="00DD7C08"/>
    <w:rsid w:val="00DE0268"/>
    <w:rsid w:val="00DE0AE4"/>
    <w:rsid w:val="00DE186B"/>
    <w:rsid w:val="00DE1A14"/>
    <w:rsid w:val="00DE32B7"/>
    <w:rsid w:val="00DE393C"/>
    <w:rsid w:val="00DE3C6A"/>
    <w:rsid w:val="00DE4125"/>
    <w:rsid w:val="00DE45D2"/>
    <w:rsid w:val="00DE4EF5"/>
    <w:rsid w:val="00DE561F"/>
    <w:rsid w:val="00DE5E65"/>
    <w:rsid w:val="00DE631A"/>
    <w:rsid w:val="00DE6A32"/>
    <w:rsid w:val="00DE751B"/>
    <w:rsid w:val="00DF11D2"/>
    <w:rsid w:val="00DF196D"/>
    <w:rsid w:val="00DF33E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5DA9"/>
    <w:rsid w:val="00E1645C"/>
    <w:rsid w:val="00E1655B"/>
    <w:rsid w:val="00E16A7E"/>
    <w:rsid w:val="00E17A16"/>
    <w:rsid w:val="00E20349"/>
    <w:rsid w:val="00E20417"/>
    <w:rsid w:val="00E2088C"/>
    <w:rsid w:val="00E2206F"/>
    <w:rsid w:val="00E22A5E"/>
    <w:rsid w:val="00E235FE"/>
    <w:rsid w:val="00E23E36"/>
    <w:rsid w:val="00E240F8"/>
    <w:rsid w:val="00E24CB7"/>
    <w:rsid w:val="00E24FDF"/>
    <w:rsid w:val="00E258C9"/>
    <w:rsid w:val="00E2591F"/>
    <w:rsid w:val="00E2626E"/>
    <w:rsid w:val="00E26D60"/>
    <w:rsid w:val="00E26EBD"/>
    <w:rsid w:val="00E272EB"/>
    <w:rsid w:val="00E273C0"/>
    <w:rsid w:val="00E31C1B"/>
    <w:rsid w:val="00E3229F"/>
    <w:rsid w:val="00E32E14"/>
    <w:rsid w:val="00E353A6"/>
    <w:rsid w:val="00E3571B"/>
    <w:rsid w:val="00E35CBE"/>
    <w:rsid w:val="00E3689A"/>
    <w:rsid w:val="00E37975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1EF9"/>
    <w:rsid w:val="00E52539"/>
    <w:rsid w:val="00E53DCA"/>
    <w:rsid w:val="00E54471"/>
    <w:rsid w:val="00E54B48"/>
    <w:rsid w:val="00E551C2"/>
    <w:rsid w:val="00E551D2"/>
    <w:rsid w:val="00E55A83"/>
    <w:rsid w:val="00E56380"/>
    <w:rsid w:val="00E56C00"/>
    <w:rsid w:val="00E600B7"/>
    <w:rsid w:val="00E6167B"/>
    <w:rsid w:val="00E61F32"/>
    <w:rsid w:val="00E63092"/>
    <w:rsid w:val="00E63097"/>
    <w:rsid w:val="00E6319A"/>
    <w:rsid w:val="00E63EDE"/>
    <w:rsid w:val="00E6429B"/>
    <w:rsid w:val="00E65FB5"/>
    <w:rsid w:val="00E663F2"/>
    <w:rsid w:val="00E66407"/>
    <w:rsid w:val="00E670F1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26C9"/>
    <w:rsid w:val="00E838D4"/>
    <w:rsid w:val="00E851C1"/>
    <w:rsid w:val="00E85A68"/>
    <w:rsid w:val="00E86958"/>
    <w:rsid w:val="00E9035D"/>
    <w:rsid w:val="00E90458"/>
    <w:rsid w:val="00E911FE"/>
    <w:rsid w:val="00E91312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978B9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0F18"/>
    <w:rsid w:val="00EC15CD"/>
    <w:rsid w:val="00EC1EB7"/>
    <w:rsid w:val="00EC3538"/>
    <w:rsid w:val="00EC3CD6"/>
    <w:rsid w:val="00EC4A90"/>
    <w:rsid w:val="00EC4ED4"/>
    <w:rsid w:val="00ED0B62"/>
    <w:rsid w:val="00ED165D"/>
    <w:rsid w:val="00ED22BB"/>
    <w:rsid w:val="00ED2D63"/>
    <w:rsid w:val="00ED3EAC"/>
    <w:rsid w:val="00ED5D9E"/>
    <w:rsid w:val="00ED6568"/>
    <w:rsid w:val="00ED659F"/>
    <w:rsid w:val="00ED6780"/>
    <w:rsid w:val="00ED7E84"/>
    <w:rsid w:val="00EE082E"/>
    <w:rsid w:val="00EE251C"/>
    <w:rsid w:val="00EE356D"/>
    <w:rsid w:val="00EE3CD9"/>
    <w:rsid w:val="00EE3D03"/>
    <w:rsid w:val="00EE4531"/>
    <w:rsid w:val="00EE4C46"/>
    <w:rsid w:val="00EE5615"/>
    <w:rsid w:val="00EE6E02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6C4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8D8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87140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379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55B7"/>
    <w:rsid w:val="00FC6DEF"/>
    <w:rsid w:val="00FC743F"/>
    <w:rsid w:val="00FC74D5"/>
    <w:rsid w:val="00FC756C"/>
    <w:rsid w:val="00FC7F14"/>
    <w:rsid w:val="00FD003B"/>
    <w:rsid w:val="00FD0074"/>
    <w:rsid w:val="00FD0332"/>
    <w:rsid w:val="00FD03AC"/>
    <w:rsid w:val="00FD1E42"/>
    <w:rsid w:val="00FD2330"/>
    <w:rsid w:val="00FD241C"/>
    <w:rsid w:val="00FD2592"/>
    <w:rsid w:val="00FD2F4C"/>
    <w:rsid w:val="00FD36FC"/>
    <w:rsid w:val="00FD3D11"/>
    <w:rsid w:val="00FD4A99"/>
    <w:rsid w:val="00FD71AB"/>
    <w:rsid w:val="00FE0723"/>
    <w:rsid w:val="00FE0B90"/>
    <w:rsid w:val="00FE1DFA"/>
    <w:rsid w:val="00FE1F80"/>
    <w:rsid w:val="00FE2A15"/>
    <w:rsid w:val="00FE4EF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153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26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  <w:style w:type="paragraph" w:customStyle="1" w:styleId="Default">
    <w:name w:val="Default"/>
    <w:rsid w:val="0062129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E826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r-only">
    <w:name w:val="sr-only"/>
    <w:basedOn w:val="Policepardfaut"/>
    <w:rsid w:val="00275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40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4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24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16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3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5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9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70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72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6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0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8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5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64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14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1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810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83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2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98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2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911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5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9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388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516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4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999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9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4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43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2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537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1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2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0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12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81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0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3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9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4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30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0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7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19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248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3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821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690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2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59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372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8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779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33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1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9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1865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1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577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7071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2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0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417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8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85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6871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8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7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439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1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32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10335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3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9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87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772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18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96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33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6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007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642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9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1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6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06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708337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85900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561482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154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165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4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69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94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3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66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4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7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47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47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810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1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4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20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01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3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70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03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3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00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1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5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5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3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4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682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4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6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21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30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2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37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6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4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7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738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7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4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5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0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6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96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5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7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754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2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752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58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7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3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8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65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13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4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1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16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58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4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78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07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8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8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0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7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2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26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7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12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2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6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86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0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8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01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61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4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1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45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6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67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68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1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3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0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6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5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91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21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5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0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7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9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6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7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1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7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3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8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6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4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62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9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8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2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81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6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3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56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49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87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1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2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76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0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76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9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227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6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82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825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37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3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4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450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6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75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6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112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7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67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9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2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6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605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4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4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2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5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7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3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8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5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15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3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02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3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42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23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4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9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6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5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4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3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3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06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68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01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22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9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4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62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09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0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42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59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4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6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017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6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00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7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3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18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25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2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698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8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474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7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57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0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1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5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77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10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03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12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3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72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6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89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2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068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0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305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4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687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8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21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7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06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5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73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392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108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16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3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66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45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7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2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3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94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5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8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0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289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51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3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9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31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5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3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83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0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2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04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0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5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085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6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6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3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67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8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0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1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9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9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3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463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17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4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056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9922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8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652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1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71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0280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4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5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5016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6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45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621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8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19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4605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9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063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185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2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7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5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5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2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4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7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6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5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64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3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15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8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48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4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2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6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2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9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9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4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9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6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11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1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0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4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7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1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4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2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802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0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3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47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37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3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71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80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9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9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8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29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5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120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50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39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5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2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2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3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92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7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4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5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08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51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1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3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5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40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6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6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00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309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0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53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9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75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9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8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2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5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96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3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9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8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415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8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614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49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6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0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3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6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0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5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6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7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8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275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63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3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1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5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91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28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6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5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5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2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1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49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4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30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7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2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3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3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france.gouv.fr/ceta/id/CETATEXT000046590969?juridiction=CONSEIL_ETAT&amp;juridiction=COURS_APPEL&amp;juridiction=TRIBUNAL_ADMINISTATIF&amp;juridiction=TRIBUNAL_CONFLIT&amp;page=1&amp;pageSize=10&amp;query=*447097&amp;searchField=ALL&amp;searchType=ALL&amp;sortValue=DATE_DESC&amp;tab_selection=cetat" TargetMode="External"/><Relationship Id="rId13" Type="http://schemas.openxmlformats.org/officeDocument/2006/relationships/hyperlink" Target="https://www.legifrance.gouv.fr/juri/id/JURITEXT000046683059?dateDecision=30%2F11%2F2022+%3E+30%2F11%2F2022&amp;isAdvancedResult=&amp;page=11&amp;pageSize=10&amp;pdcSearchArbo=&amp;pdcSearchArboId=&amp;query=&amp;searchField=ALL&amp;searchProximity=&amp;searchType=ALL&amp;sortValue=DATE_DESC&amp;tab_selection=juri&amp;typePagination=DEFAULT" TargetMode="External"/><Relationship Id="rId18" Type="http://schemas.openxmlformats.org/officeDocument/2006/relationships/hyperlink" Target="http://www.senat.fr/basile/visio.do?id=qSEQ220700933&amp;idtable=q419750|q417735|q417952|q417908|q417931|q418020|q418034|q418374|q418098|q418245&amp;_na=QE&amp;rch=qa&amp;de=20221205&amp;au=20221209&amp;dp=1+an&amp;radio=deau&amp;date=dateJORep&amp;appr=text&amp;aff=ar&amp;tri=dd&amp;off=100&amp;afd=ppr&amp;afd=ppl&amp;afd=pjl&amp;afd=cvn" TargetMode="External"/><Relationship Id="rId26" Type="http://schemas.openxmlformats.org/officeDocument/2006/relationships/hyperlink" Target="https://bofip.impots.gouv.fr/bofip/13628-PGP.html/ACTU-2022-00097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anquedesterritoires.fr/sites/default/files/2022-12/20221202-%20GUIDE%20DIRIGEANT%20EPL_VF.pdf" TargetMode="External"/><Relationship Id="rId34" Type="http://schemas.openxmlformats.org/officeDocument/2006/relationships/hyperlink" Target="https://bofip.impots.gouv.fr/bofip/13745-PGP.html/ACTU-2022-0014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ofip.impots.gouv.fr/bofip/13728-PGP.html/ACTU-2022-00142" TargetMode="External"/><Relationship Id="rId17" Type="http://schemas.openxmlformats.org/officeDocument/2006/relationships/hyperlink" Target="https://questions.assemblee-nationale.fr/q16/16-2676QE.htm" TargetMode="External"/><Relationship Id="rId25" Type="http://schemas.openxmlformats.org/officeDocument/2006/relationships/hyperlink" Target="https://bofip.impots.gouv.fr/bofip/13711-PGP.html/ACTU-2022-00133" TargetMode="External"/><Relationship Id="rId33" Type="http://schemas.openxmlformats.org/officeDocument/2006/relationships/hyperlink" Target="https://bofip.impots.gouv.fr/bofip/13747-PGP.html/ACTU-2022-00146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enat.fr/basile/visio.do?id=qSEQ221003308&amp;idtable=q424236|q424320|q424349|q424352|q424360|q424428|q424452|q424455|q424476|q423718&amp;_na=QE&amp;rch=qa&amp;de=20221219&amp;au=20221223&amp;dp=1+an&amp;radio=deau&amp;date=dateJORep&amp;appr=text&amp;aff=ar&amp;tri=dd&amp;off=30&amp;afd=ppr&amp;afd=ppl&amp;afd=pjl&amp;afd=cvn" TargetMode="External"/><Relationship Id="rId20" Type="http://schemas.openxmlformats.org/officeDocument/2006/relationships/hyperlink" Target="https://www.legifrance.gouv.fr/ceta/id/CETATEXT000046752315?juridiction=CONSEIL_ETAT&amp;juridiction=COURS_APPEL&amp;juridiction=TRIBUNAL_ADMINISTATIF&amp;juridiction=TRIBUNAL_CONFLIT&amp;page=1&amp;pageSize=10&amp;query=%22march%C3%A9+public%22&amp;searchField=ALL&amp;searchType=ALL&amp;sortValue=DATE_DESC&amp;tab_selection=cetat" TargetMode="External"/><Relationship Id="rId29" Type="http://schemas.openxmlformats.org/officeDocument/2006/relationships/hyperlink" Target="https://bofip.impots.gouv.fr/bofip/13760-PGP.html/ACTU-2022-0015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fip.impots.gouv.fr/bofip/13758-PGP.html/ACTU-2022-00148" TargetMode="External"/><Relationship Id="rId24" Type="http://schemas.openxmlformats.org/officeDocument/2006/relationships/hyperlink" Target="https://bofip.impots.gouv.fr/bofip/13475-PGP.html/ACTU-2022-00012" TargetMode="External"/><Relationship Id="rId32" Type="http://schemas.openxmlformats.org/officeDocument/2006/relationships/hyperlink" Target="https://bofip.impots.gouv.fr/bofip/13646-PGP.html/ACTU-2022-00103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questions.assemblee-nationale.fr/q16/16-1375QE.htm" TargetMode="External"/><Relationship Id="rId23" Type="http://schemas.openxmlformats.org/officeDocument/2006/relationships/hyperlink" Target="https://bofip.impots.gouv.fr/bofip/13720-PGP.html/ACTU-2022-00138" TargetMode="External"/><Relationship Id="rId28" Type="http://schemas.openxmlformats.org/officeDocument/2006/relationships/hyperlink" Target="https://bofip.impots.gouv.fr/bofip/13757-PGP.html/ACTU-2022-00147" TargetMode="External"/><Relationship Id="rId36" Type="http://schemas.openxmlformats.org/officeDocument/2006/relationships/header" Target="header2.xml"/><Relationship Id="rId10" Type="http://schemas.openxmlformats.org/officeDocument/2006/relationships/hyperlink" Target="R&#233;p.%20Louwagie%20:%20AN%2013-9-2022%20n&#176;%2096" TargetMode="External"/><Relationship Id="rId19" Type="http://schemas.openxmlformats.org/officeDocument/2006/relationships/hyperlink" Target="https://questions.assemblee-nationale.fr/q16/16-2002QE.htm" TargetMode="External"/><Relationship Id="rId31" Type="http://schemas.openxmlformats.org/officeDocument/2006/relationships/hyperlink" Target="https://bofip.impots.gouv.fr/bofip/13746-PGP.html/ACTU-2022-0014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gifrance.gouv.fr/ceta/id/CETATEXT000046590974?juridiction=CONSEIL_ETAT&amp;juridiction=COURS_APPEL&amp;juridiction=TRIBUNAL_ADMINISTATIF&amp;juridiction=TRIBUNAL_CONFLIT&amp;page=1&amp;pageSize=10&amp;query=*454766&amp;searchField=ALL&amp;searchType=ALL&amp;sortValue=DATE_DESC&amp;tab_selection=cetat" TargetMode="External"/><Relationship Id="rId14" Type="http://schemas.openxmlformats.org/officeDocument/2006/relationships/hyperlink" Target="https://www.legifrance.gouv.fr/jorf/id/JORFTEXT000046690982" TargetMode="External"/><Relationship Id="rId22" Type="http://schemas.openxmlformats.org/officeDocument/2006/relationships/hyperlink" Target="https://bofip.impots.gouv.fr/bofip/13728-PGP.html/ACTU-2022-00142" TargetMode="External"/><Relationship Id="rId27" Type="http://schemas.openxmlformats.org/officeDocument/2006/relationships/hyperlink" Target="https://bofip.impots.gouv.fr/bofip/13758-PGP.html/ACTU-2022-00148" TargetMode="External"/><Relationship Id="rId30" Type="http://schemas.openxmlformats.org/officeDocument/2006/relationships/hyperlink" Target="https://bofip.impots.gouv.fr/bofip/13294-PGP.html/ACTU-2021-00253" TargetMode="External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1</Pages>
  <Words>2008</Words>
  <Characters>11045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13027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</cp:lastModifiedBy>
  <cp:revision>55</cp:revision>
  <cp:lastPrinted>2022-11-28T09:52:00Z</cp:lastPrinted>
  <dcterms:created xsi:type="dcterms:W3CDTF">2022-05-28T13:59:00Z</dcterms:created>
  <dcterms:modified xsi:type="dcterms:W3CDTF">2022-12-29T16:08:00Z</dcterms:modified>
</cp:coreProperties>
</file>