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7D154443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2-0</w:t>
            </w:r>
            <w:r w:rsidR="009D760D">
              <w:rPr>
                <w:rFonts w:ascii="Times New Roman" w:eastAsia="Times New Roman" w:hAnsi="Times New Roman"/>
                <w:noProof/>
                <w:sz w:val="20"/>
              </w:rPr>
              <w:t>7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3C7224AF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C372C7">
              <w:t>5 août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14788048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014A4D">
        <w:t>1,49% pour les comptes courants d’associés -</w:t>
      </w:r>
    </w:p>
    <w:p w14:paraId="073D1CB1" w14:textId="4CD28647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014A4D">
        <w:t>Déduction de la TVA dans les groupes – Pas de TVA réduite pour l’entretien des ascenseurs selon l’Europe -</w:t>
      </w:r>
    </w:p>
    <w:p w14:paraId="4E8276DC" w14:textId="26F63D37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014A4D">
        <w:t>Rien à signaler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4F9735E1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014A4D">
        <w:t>Rien à signaler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50906197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014A4D">
        <w:t>Les comptes des OSBL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3F48D7C2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014A4D">
        <w:t>Les travaux de rénovation énergétique que peut faire un locataire -</w:t>
      </w:r>
    </w:p>
    <w:p w14:paraId="41468130" w14:textId="020EE49B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393E93">
        <w:t>Rien à signaler</w:t>
      </w:r>
    </w:p>
    <w:p w14:paraId="48D6DEFC" w14:textId="7B16C160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DA06E7">
        <w:t>Rien à signaler</w:t>
      </w:r>
    </w:p>
    <w:p w14:paraId="76354D80" w14:textId="0E65440E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DA06E7">
        <w:t>Rien à signaler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01F62252" w:rsidR="00E935A2" w:rsidRDefault="00E935A2" w:rsidP="009A34E8">
      <w:pPr>
        <w:tabs>
          <w:tab w:val="left" w:pos="567"/>
          <w:tab w:val="left" w:pos="1134"/>
          <w:tab w:val="left" w:pos="2250"/>
        </w:tabs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  <w:r w:rsidR="00C372C7">
        <w:rPr>
          <w:rFonts w:cs="Times"/>
          <w:b/>
          <w:szCs w:val="24"/>
        </w:rPr>
        <w:tab/>
      </w:r>
    </w:p>
    <w:p w14:paraId="556563EB" w14:textId="31CA75AB" w:rsidR="00091C56" w:rsidRPr="008A16AA" w:rsidRDefault="00E935A2" w:rsidP="009A34E8">
      <w:pPr>
        <w:pStyle w:val="Paragraphedeliste"/>
        <w:numPr>
          <w:ilvl w:val="1"/>
          <w:numId w:val="50"/>
        </w:numPr>
        <w:spacing w:before="120" w:after="0" w:line="240" w:lineRule="auto"/>
        <w:contextualSpacing w:val="0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1C66FEE4" w14:textId="02CA43CF" w:rsidR="007D6790" w:rsidRDefault="00A3278E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A3278E">
        <w:rPr>
          <w:rFonts w:cs="Times"/>
          <w:color w:val="003300"/>
          <w:szCs w:val="24"/>
          <w:u w:val="single"/>
        </w:rPr>
        <w:t xml:space="preserve">Déductibilité des </w:t>
      </w:r>
      <w:r w:rsidR="00C372C7">
        <w:rPr>
          <w:rFonts w:cs="Times"/>
          <w:color w:val="003300"/>
          <w:szCs w:val="24"/>
          <w:u w:val="single"/>
        </w:rPr>
        <w:t>intérêts</w:t>
      </w:r>
      <w:r>
        <w:rPr>
          <w:rFonts w:cs="Times"/>
          <w:color w:val="003300"/>
          <w:szCs w:val="24"/>
        </w:rPr>
        <w:t xml:space="preserve"> – Le</w:t>
      </w:r>
      <w:r w:rsidR="00B47B8F">
        <w:rPr>
          <w:rFonts w:cs="Times"/>
          <w:color w:val="003300"/>
          <w:szCs w:val="24"/>
        </w:rPr>
        <w:t xml:space="preserve"> taux est de 1,49%</w:t>
      </w:r>
    </w:p>
    <w:p w14:paraId="26F94A6B" w14:textId="4DD6C768" w:rsidR="00C372C7" w:rsidRPr="00014A4D" w:rsidRDefault="00000000" w:rsidP="00014A4D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</w:rPr>
      </w:pPr>
      <w:hyperlink r:id="rId8" w:tooltip="13/07/2022 : BIC - Actualisation du taux maximum des intérêts admis en déduction d'un point de vue fiscal" w:history="1">
        <w:r w:rsidR="00C372C7" w:rsidRPr="00B47B8F">
          <w:rPr>
            <w:rStyle w:val="Lienhypertexte"/>
            <w:rFonts w:ascii="Times" w:hAnsi="Times" w:cs="Times"/>
          </w:rPr>
          <w:t>13/07/2022 : BIC - Actualisation du taux maximum des intérêts admis en déduction d'un point de vue fiscal</w:t>
        </w:r>
      </w:hyperlink>
    </w:p>
    <w:p w14:paraId="702289FB" w14:textId="293E0BB3" w:rsidR="009D760D" w:rsidRPr="0032271C" w:rsidRDefault="00516DD0" w:rsidP="0032271C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1212043C" w14:textId="77777777" w:rsidR="0032271C" w:rsidRDefault="0032271C" w:rsidP="009A34E8">
      <w:pPr>
        <w:keepNext/>
        <w:spacing w:before="120" w:after="0" w:line="240" w:lineRule="auto"/>
        <w:rPr>
          <w:color w:val="003300"/>
        </w:rPr>
      </w:pPr>
      <w:r w:rsidRPr="00014A4D">
        <w:rPr>
          <w:color w:val="003300"/>
          <w:u w:val="single"/>
        </w:rPr>
        <w:t>Déduction</w:t>
      </w:r>
      <w:r w:rsidRPr="0032271C">
        <w:rPr>
          <w:color w:val="003300"/>
        </w:rPr>
        <w:t xml:space="preserve"> </w:t>
      </w:r>
      <w:r>
        <w:rPr>
          <w:color w:val="003300"/>
        </w:rPr>
        <w:t>– Pour les groupes de TVA.</w:t>
      </w:r>
    </w:p>
    <w:p w14:paraId="20DD45CD" w14:textId="03B83586" w:rsidR="00A662F6" w:rsidRDefault="0032271C" w:rsidP="0032271C">
      <w:pPr>
        <w:keepNext/>
        <w:spacing w:before="120" w:after="0" w:line="240" w:lineRule="auto"/>
        <w:ind w:left="567"/>
        <w:rPr>
          <w:color w:val="003300"/>
        </w:rPr>
      </w:pPr>
      <w:hyperlink r:id="rId9" w:history="1">
        <w:r w:rsidR="00A662F6" w:rsidRPr="0032271C">
          <w:rPr>
            <w:rStyle w:val="Lienhypertexte"/>
          </w:rPr>
          <w:t xml:space="preserve">Décret n° </w:t>
        </w:r>
        <w:r w:rsidR="00A662F6" w:rsidRPr="00791DEA">
          <w:rPr>
            <w:rStyle w:val="Lienhypertexte"/>
          </w:rPr>
          <w:t>2022</w:t>
        </w:r>
        <w:r w:rsidR="00A662F6" w:rsidRPr="0032271C">
          <w:rPr>
            <w:rStyle w:val="Lienhypertexte"/>
          </w:rPr>
          <w:t>-1033</w:t>
        </w:r>
      </w:hyperlink>
      <w:r w:rsidR="00A662F6" w:rsidRPr="00A662F6">
        <w:rPr>
          <w:color w:val="003300"/>
        </w:rPr>
        <w:t xml:space="preserve"> du 20 juillet 2022 relatif aux modalités de déduction de la taxe sur la valeur ajoutée et aux obligations de facturation des assujettis uniques</w:t>
      </w:r>
    </w:p>
    <w:p w14:paraId="4CEA179E" w14:textId="70E6E824" w:rsidR="0028138C" w:rsidRDefault="0028138C" w:rsidP="0028138C">
      <w:pPr>
        <w:keepNext/>
        <w:spacing w:before="120" w:after="0" w:line="240" w:lineRule="auto"/>
        <w:rPr>
          <w:color w:val="003300"/>
        </w:rPr>
      </w:pPr>
      <w:r w:rsidRPr="0028138C">
        <w:rPr>
          <w:color w:val="003300"/>
          <w:u w:val="single"/>
        </w:rPr>
        <w:t>TVA réduite</w:t>
      </w:r>
      <w:r>
        <w:rPr>
          <w:color w:val="003300"/>
        </w:rPr>
        <w:t xml:space="preserve"> – Selon l’Europe, TVA </w:t>
      </w:r>
      <w:r w:rsidRPr="00791DEA">
        <w:rPr>
          <w:color w:val="003300"/>
        </w:rPr>
        <w:t>réduite sur les</w:t>
      </w:r>
      <w:r>
        <w:rPr>
          <w:color w:val="003300"/>
        </w:rPr>
        <w:t xml:space="preserve"> réparations mais pas sur l’entretien des ascenseurs. La France se mettra-t-elle à ce régime ?</w:t>
      </w:r>
    </w:p>
    <w:p w14:paraId="42461A2E" w14:textId="2D8FF696" w:rsidR="0028138C" w:rsidRPr="00A662F6" w:rsidRDefault="00D677CB" w:rsidP="0032271C">
      <w:pPr>
        <w:keepNext/>
        <w:spacing w:before="120" w:after="0" w:line="240" w:lineRule="auto"/>
        <w:ind w:left="567"/>
        <w:rPr>
          <w:color w:val="003300"/>
        </w:rPr>
      </w:pPr>
      <w:hyperlink r:id="rId10" w:history="1">
        <w:r w:rsidR="0028138C" w:rsidRPr="00D677CB">
          <w:rPr>
            <w:rStyle w:val="Lienhypertexte"/>
          </w:rPr>
          <w:t>CJUE 5-5-2022 aff. 218/21</w:t>
        </w:r>
      </w:hyperlink>
    </w:p>
    <w:p w14:paraId="6CE58C92" w14:textId="34425779" w:rsidR="00FF358C" w:rsidRPr="006320BB" w:rsidRDefault="00FF358C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3F7CD3D1" w14:textId="195786B0" w:rsidR="009D760D" w:rsidRPr="00014A4D" w:rsidRDefault="00014A4D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034CD263" w14:textId="781457E5" w:rsidR="00426AED" w:rsidRPr="0030393C" w:rsidRDefault="00426AED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9A34E8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75088FC0" w14:textId="5654C25A" w:rsidR="009F51A4" w:rsidRPr="00014A4D" w:rsidRDefault="00014A4D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7796ECE8" w14:textId="77777777" w:rsidR="009D760D" w:rsidRDefault="009D760D" w:rsidP="009A34E8">
      <w:pPr>
        <w:keepNext/>
        <w:spacing w:before="120" w:after="0" w:line="240" w:lineRule="auto"/>
        <w:rPr>
          <w:color w:val="003300"/>
          <w:u w:val="single"/>
        </w:rPr>
      </w:pPr>
    </w:p>
    <w:p w14:paraId="20C76B2E" w14:textId="08D46534" w:rsidR="00E935A2" w:rsidRPr="006320BB" w:rsidRDefault="00E935A2" w:rsidP="009A34E8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9A34E8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4BFFF538" w14:textId="5B61C494" w:rsidR="00C16027" w:rsidRDefault="00791DEA" w:rsidP="009A34E8">
      <w:pPr>
        <w:spacing w:before="120" w:after="0" w:line="240" w:lineRule="auto"/>
        <w:rPr>
          <w:color w:val="003300"/>
          <w:u w:val="single"/>
        </w:rPr>
      </w:pPr>
      <w:r>
        <w:rPr>
          <w:color w:val="003300"/>
          <w:u w:val="single"/>
        </w:rPr>
        <w:t xml:space="preserve">ANC </w:t>
      </w:r>
      <w:r w:rsidRPr="00791DEA">
        <w:rPr>
          <w:color w:val="003300"/>
        </w:rPr>
        <w:t>– La production pour les OSBL.</w:t>
      </w:r>
    </w:p>
    <w:p w14:paraId="50136DCC" w14:textId="1C36777B" w:rsidR="00791DEA" w:rsidRPr="00791DEA" w:rsidRDefault="00791DEA" w:rsidP="00791DEA">
      <w:pPr>
        <w:spacing w:before="120" w:after="0" w:line="240" w:lineRule="auto"/>
        <w:ind w:left="567"/>
        <w:rPr>
          <w:rFonts w:cs="Times"/>
          <w:color w:val="0000FF"/>
          <w:szCs w:val="24"/>
          <w:u w:val="single"/>
        </w:rPr>
      </w:pPr>
      <w:r w:rsidRPr="00791DEA">
        <w:rPr>
          <w:rFonts w:cs="Times"/>
          <w:color w:val="003300"/>
          <w:szCs w:val="24"/>
          <w:shd w:val="clear" w:color="auto" w:fill="FFFFFF"/>
        </w:rPr>
        <w:t>Règlement ANC n° 2022-04 modifiant le règlement ANC n° 2018-06 du 5 décembre 2018 relatif aux comptes annuels des personnes morales de droit privé à but non lucratif </w:t>
      </w:r>
      <w:hyperlink r:id="rId11" w:tgtFrame="_blank" w:tooltip="R2022_04" w:history="1">
        <w:r w:rsidRPr="00791DEA">
          <w:rPr>
            <w:rStyle w:val="Lienhypertexte"/>
            <w:rFonts w:cs="Times"/>
            <w:b/>
            <w:bCs/>
            <w:szCs w:val="24"/>
            <w:shd w:val="clear" w:color="auto" w:fill="FFFFFF"/>
          </w:rPr>
          <w:t>(</w:t>
        </w:r>
        <w:r w:rsidRPr="00791DEA">
          <w:rPr>
            <w:rStyle w:val="lev"/>
            <w:rFonts w:cs="Times"/>
            <w:b w:val="0"/>
            <w:bCs w:val="0"/>
            <w:color w:val="0000FF"/>
            <w:szCs w:val="24"/>
            <w:shd w:val="clear" w:color="auto" w:fill="FFFFFF"/>
          </w:rPr>
          <w:t>version</w:t>
        </w:r>
        <w:r w:rsidRPr="00791DEA">
          <w:rPr>
            <w:rStyle w:val="lev"/>
            <w:rFonts w:cs="Times"/>
            <w:b w:val="0"/>
            <w:bCs w:val="0"/>
            <w:color w:val="0000FF"/>
            <w:szCs w:val="24"/>
            <w:shd w:val="clear" w:color="auto" w:fill="FFFFFF"/>
          </w:rPr>
          <w:t xml:space="preserve"> </w:t>
        </w:r>
        <w:r w:rsidRPr="00791DEA">
          <w:rPr>
            <w:rStyle w:val="lev"/>
            <w:rFonts w:cs="Times"/>
            <w:b w:val="0"/>
            <w:bCs w:val="0"/>
            <w:color w:val="0000FF"/>
            <w:szCs w:val="24"/>
            <w:shd w:val="clear" w:color="auto" w:fill="FFFFFF"/>
          </w:rPr>
          <w:t>en cours d’homologation</w:t>
        </w:r>
      </w:hyperlink>
      <w:r w:rsidRPr="00791DEA">
        <w:rPr>
          <w:rFonts w:cs="Times"/>
          <w:b/>
          <w:bCs/>
          <w:color w:val="0000FF"/>
          <w:szCs w:val="24"/>
          <w:shd w:val="clear" w:color="auto" w:fill="FFFFFF"/>
        </w:rPr>
        <w:t> </w:t>
      </w:r>
      <w:r w:rsidRPr="00791DEA">
        <w:rPr>
          <w:rFonts w:cs="Times"/>
          <w:b/>
          <w:bCs/>
          <w:color w:val="232B3A"/>
          <w:szCs w:val="24"/>
          <w:shd w:val="clear" w:color="auto" w:fill="FFFFFF"/>
        </w:rPr>
        <w:t>+ </w:t>
      </w:r>
      <w:hyperlink r:id="rId12" w:tgtFrame="_blank" w:tooltip="R2022_04_version-commentée" w:history="1">
        <w:r w:rsidRPr="00791DEA">
          <w:rPr>
            <w:rStyle w:val="Lienhypertexte"/>
            <w:rFonts w:cs="Times"/>
            <w:szCs w:val="24"/>
            <w:u w:val="none"/>
            <w:shd w:val="clear" w:color="auto" w:fill="FFFFFF"/>
          </w:rPr>
          <w:t>version complétée de com</w:t>
        </w:r>
        <w:r w:rsidRPr="00791DEA">
          <w:rPr>
            <w:rStyle w:val="Lienhypertexte"/>
            <w:rFonts w:cs="Times"/>
            <w:szCs w:val="24"/>
            <w:u w:val="none"/>
            <w:shd w:val="clear" w:color="auto" w:fill="FFFFFF"/>
          </w:rPr>
          <w:t>m</w:t>
        </w:r>
        <w:r w:rsidRPr="00791DEA">
          <w:rPr>
            <w:rStyle w:val="Lienhypertexte"/>
            <w:rFonts w:cs="Times"/>
            <w:szCs w:val="24"/>
            <w:u w:val="none"/>
            <w:shd w:val="clear" w:color="auto" w:fill="FFFFFF"/>
          </w:rPr>
          <w:t>entaires infra réglementaires</w:t>
        </w:r>
      </w:hyperlink>
      <w:r w:rsidRPr="00791DEA">
        <w:rPr>
          <w:rFonts w:cs="Times"/>
          <w:color w:val="0000FF"/>
          <w:szCs w:val="24"/>
          <w:shd w:val="clear" w:color="auto" w:fill="FFFFFF"/>
        </w:rPr>
        <w:t>)</w:t>
      </w:r>
    </w:p>
    <w:p w14:paraId="74C64F66" w14:textId="77777777" w:rsidR="009D760D" w:rsidRDefault="009D760D" w:rsidP="009A34E8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17A2143B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2FAA8831" w14:textId="29B10EAF" w:rsidR="009D760D" w:rsidRDefault="000511EB" w:rsidP="009A34E8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Travaux énergétiques</w:t>
      </w:r>
      <w:r>
        <w:rPr>
          <w:color w:val="003300"/>
        </w:rPr>
        <w:t xml:space="preserve"> – La liste des travaux que le locataire peut faire.</w:t>
      </w:r>
    </w:p>
    <w:p w14:paraId="088D1436" w14:textId="7988DF57" w:rsidR="000511EB" w:rsidRPr="000511EB" w:rsidRDefault="000511EB" w:rsidP="000511EB">
      <w:pPr>
        <w:spacing w:before="120" w:after="0" w:line="240" w:lineRule="auto"/>
        <w:ind w:left="567"/>
        <w:rPr>
          <w:color w:val="003300"/>
        </w:rPr>
      </w:pPr>
      <w:hyperlink r:id="rId13" w:history="1">
        <w:r w:rsidRPr="000511EB">
          <w:rPr>
            <w:rStyle w:val="Lienhypertexte"/>
          </w:rPr>
          <w:t>Décret n° 2022-1026</w:t>
        </w:r>
      </w:hyperlink>
      <w:r w:rsidRPr="000511EB">
        <w:rPr>
          <w:color w:val="003300"/>
        </w:rPr>
        <w:t xml:space="preserve"> du 20 juillet 2022 relatif aux travaux de rénovation énergétique réalisés aux frais du locataire</w:t>
      </w:r>
    </w:p>
    <w:p w14:paraId="17D13BC7" w14:textId="76E0F882" w:rsidR="00E935A2" w:rsidRDefault="00AB002C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32D7C8C" w14:textId="4A035CF0" w:rsidR="00C16027" w:rsidRPr="0067663C" w:rsidRDefault="0067663C" w:rsidP="009A34E8">
      <w:pPr>
        <w:spacing w:before="120" w:after="0" w:line="240" w:lineRule="auto"/>
        <w:rPr>
          <w:color w:val="003300"/>
        </w:rPr>
      </w:pPr>
      <w:r w:rsidRPr="00987CAB">
        <w:rPr>
          <w:color w:val="003300"/>
        </w:rPr>
        <w:t>Rien à signaler</w:t>
      </w:r>
    </w:p>
    <w:p w14:paraId="7D92344F" w14:textId="23AE5CDE" w:rsidR="00331173" w:rsidRDefault="00331173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lastRenderedPageBreak/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4EF90212" w14:textId="0A8FD6F5" w:rsidR="008E1544" w:rsidRPr="00987CAB" w:rsidRDefault="00987CAB" w:rsidP="009A34E8">
      <w:pPr>
        <w:spacing w:before="120" w:after="0" w:line="240" w:lineRule="auto"/>
        <w:rPr>
          <w:color w:val="003300"/>
        </w:rPr>
      </w:pPr>
      <w:r w:rsidRPr="00987CAB">
        <w:rPr>
          <w:color w:val="003300"/>
        </w:rPr>
        <w:t>Rien à signaler</w:t>
      </w:r>
    </w:p>
    <w:p w14:paraId="139FD342" w14:textId="6C5F1260" w:rsidR="008E1544" w:rsidRPr="00987CAB" w:rsidRDefault="001F3614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6E1B19DF" w14:textId="217DA63C" w:rsidR="00142627" w:rsidRDefault="00987CAB" w:rsidP="009A34E8">
      <w:pPr>
        <w:spacing w:before="120" w:after="0" w:line="240" w:lineRule="auto"/>
        <w:jc w:val="left"/>
      </w:pPr>
      <w:r w:rsidRPr="00987CAB">
        <w:rPr>
          <w:color w:val="003300"/>
        </w:rPr>
        <w:t>Rien à signaler</w:t>
      </w:r>
      <w:r>
        <w:t xml:space="preserve"> </w:t>
      </w:r>
      <w:r w:rsidR="00142627">
        <w:br w:type="page"/>
      </w:r>
    </w:p>
    <w:p w14:paraId="2649CADA" w14:textId="5F0E7A1B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5D8B28A8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4" w:tooltip="27/07/2022 : BIC - IF - Prorogation des exonérations fiscales applicables dans les bassins urbains à dynamiser (BUD) (loi n° 2021-1900 du 30 décembre 2021 de finances pour 2022, art. 68, I-1° et 2°) 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27/07/2022 : BIC - IF - Prorogation des exonérations fiscales applicables dans les bassins urbains à dynamiser (BUD) (loi n° 2021-1900 du 30 décembre 2021 de finances pour 2022, art. 68, I-1° et 2°)</w:t>
        </w:r>
      </w:hyperlink>
    </w:p>
    <w:p w14:paraId="3EA38DAC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5" w:tooltip="13/07/2022 : BIC - Actualisation du taux maximum des intérêts admis en déduction d'un point de vue fiscal" w:history="1">
        <w:r w:rsidR="00C372C7" w:rsidRPr="00C372C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13/07/2022 : BIC - Actualisation du taux maximum des intérêts admis en déduction d'un point de vue fiscal</w:t>
        </w:r>
      </w:hyperlink>
    </w:p>
    <w:p w14:paraId="237ED4C1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6" w:tooltip="06/07/2022 : IS - Création d'une réduction d'impôt en faveur des entreprises soumises à l’impôt sur les sociétés qui réalisent dans les collectivités d’outre-mer et en Nouvelle-Calédonie des investissements productifs neufs, des investissements dans le secteur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06/07/2022 : IS - Création d'une réduction d'impôt en faveur des entreprises soumises à l’impôt sur les sociétés qui réalisent dans les collectivités d’outre-mer et en Nouvelle-Calédonie des investissements productifs neufs, des investissements dans le secteur du logement locatif ou des souscriptions au capital de sociétés réalisant de tels investissements (loi n° 2020-1721 du 29 décembre 2020 de finances pour 2021, art. 108 ; loi n° 2021-1900 du 30 décembre 2021 de finances pour 2022, art. 16 et 72)</w:t>
        </w:r>
      </w:hyperlink>
    </w:p>
    <w:p w14:paraId="53B4BEB6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7" w:tooltip="05/07/2022 : RPPM - PAT - Aménagement du dispositif d'abattement fixe applicable aux gains de cession de titres de PME réalisés par les dirigeants lors de leur départ à la retraite (loi n° 2021-1900 du 30 décembre 2021 de finances pour 2022, art. 19, II et III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05/07/2022 : RPPM - PAT - Aménagement du dispositif d'abattement fixe applicable aux gains de cession de titres de PME réalisés par les dirigeants lors de leur départ à la retraite (loi n° 2021-1900 du 30 décembre 2021 de finances pour 2022, art. 19, II et III) - Jurisprudence (CE, décision du 21 octobre 2020, n° 437598)</w:t>
        </w:r>
      </w:hyperlink>
    </w:p>
    <w:p w14:paraId="58053AB6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8" w:tooltip="30/06/2022 : RPPM - Abrogation de l'exonération d'impôt sur le revenu des lots et primes de remboursement attachés à certains bons et obligations émis en France avant le 1er janvier 1992 prévue au 3° de l'article 157 du CGI (loi n° 2021-1900 du 30 décembre 202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30/06/2022 : RPPM - Abrogation de l'exonération d'impôt sur le revenu des lots et primes de remboursement attachés à certains bons et obligations émis en France avant le 1er janvier 1992 prévue au 3° de l'article 157 du CGI (loi n° 2021-1900 du 30 décembre 2021 de finances pour 2022, art. 35, I-13°)</w:t>
        </w:r>
      </w:hyperlink>
    </w:p>
    <w:p w14:paraId="5BAA35DA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9" w:tooltip="30/06/2022 : RPPM - Bons ou contrats de capitalisation et placements de même nature - Imposition des produits attachés à des primes versées à compter du 10 octobre 2019 pour les contrats souscrits avant 1983 - Aménagement des conditions auxquelles leur transfo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30/06/2022 : RPPM - Bons ou contrats de capitalisation et placements de même nature - Imposition des produits attachés à des primes versées à compter du 10 octobre 2019 pour les contrats souscrits avant 1983 - Aménagement des conditions auxquelles leur transformation n'emporte pas les conséquences fiscales d'un dénouement (loi n° 2019-1479 du 28 décembre 2019 de finances pour 2020, art. 9 ; loi n° 2021-1900 du 30 décembre 2021 de finances pour 2022, art. 35)</w:t>
        </w:r>
      </w:hyperlink>
    </w:p>
    <w:p w14:paraId="2BE0CEF4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0" w:tooltip="30/06/2022 : ENR - Mesures en faveur des personnes attributaires de la mention 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30/06/2022 : ENR - Mesures en faveur des personnes attributaires de la mention « Mort pour le service de la République » et de celles attributaires du statut de pupille de la République (loi n° 2021-1520 du 25 novembre 2021 visant à consolider notre modèle de sécurité civile et valoriser le volontariat des sapeurs-pompiers et les sapeurs-pompiers professionnels, art. 30)</w:t>
        </w:r>
      </w:hyperlink>
    </w:p>
    <w:p w14:paraId="6A70298D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1" w:tooltip="29/06/2022 : RPPM - RFPI - BIC - IR - IS - Restitution temporaire des retenues à la source versées par des sociétés non résidentes déficitaires - Modification du taux de certaines retenues à la source (loi n° 2019-1479 du 28 décembre 2019 de finances pour 2020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29/06/2022 : RPPM - RFPI - BIC - IR - IS - Restitution temporaire des retenues à la source versées par des sociétés non résidentes déficitaires - Modification du taux de certaines retenues à la source (loi n° 2019-1479 du 28 décembre 2019 de finances pour 2020, art. 39 et art. 42 ; loi n° 2021-1900 du 30 décembre 2021 de finances pour 2022, art. 24)</w:t>
        </w:r>
      </w:hyperlink>
    </w:p>
    <w:p w14:paraId="6BF6E7ED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2" w:tooltip="29/06/2022 : TVA - Précisions sur les règles de taxe sur la valeur ajoutée applicables aux ventes en filière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29/06/2022 : TVA - Précisions sur les règles de taxe sur la valeur ajoutée applicables aux ventes en filière</w:t>
        </w:r>
      </w:hyperlink>
    </w:p>
    <w:p w14:paraId="7A2C69E7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3" w:tooltip="29/06/2022 : TVA - Consultation publique - Simplification du régime des taux applicables aux denrées alimentaires et aux intrants de la production alimentaire et de la production agricole (loi n° 2021-1900 du 30 décembre 2021 de finances pour 2022, art. 30, I-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29/06/2022 : TVA - Consultation publique - Simplification du régime des taux applicables aux denrées alimentaires et aux intrants de la production alimentaire et de la production agricole (loi n° 2021-1900 du 30 décembre 2021 de finances pour 2022, art. 30, I-10°-a et 11°-a à c) - Rescrit</w:t>
        </w:r>
      </w:hyperlink>
    </w:p>
    <w:p w14:paraId="14E7B809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4" w:tooltip="29/06/2022 : TVA - Introduction de critères pour l’accréditation des représentants fiscaux (loi n° 2021-1900 du 30 décembre 2021 de finances pour 2022, art. 30)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29/06/2022 : TVA - Introduction de critères pour l’accréditation des représentants fiscaux (loi n° 2021-1900 du 30 décembre 2021 de finances pour 2022, art. 30)</w:t>
        </w:r>
      </w:hyperlink>
    </w:p>
    <w:p w14:paraId="188BE127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5" w:tooltip="28/06/2022 : IR - Prorogation de l'expérimentation en région Bretagne de l'éligibilité au dispositif 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28/06/2022 : IR - Prorogation de l'expérimentation en région Bretagne de l'éligibilité au dispositif « Pinel » et précisions relatives aux obligations déclaratives afférentes (loi n° 2021-1900 du 30 décembre 2021 de finances pour 2022, art. 92 ; décret n° 2021-289 du 15 mars 2021)</w:t>
        </w:r>
      </w:hyperlink>
    </w:p>
    <w:p w14:paraId="49494B44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6" w:tooltip="27/06/2022 : IR - Prorogation de la réduction d’impôt sur le revenu en faveur de l'acquisition de logements destinés à la location meublée exercée à titre non professionnel (loi n° 2021-1900 du 30 décembre 2021 de finances pour 2022, art. 74)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27/06/2022 : IR - Prorogation de la réduction d’impôt sur le revenu en faveur de l'acquisition de logements destinés à la location meublée exercée à titre non professionnel (loi n° 2021-1900 du 30 décembre 2021 de finances pour 2022, art. 74)</w:t>
        </w:r>
      </w:hyperlink>
    </w:p>
    <w:p w14:paraId="1BD94F17" w14:textId="77777777" w:rsidR="00C372C7" w:rsidRDefault="00000000" w:rsidP="00C372C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7" w:tooltip="27/06/2022 : IR - Prorogation du dispositif " w:history="1">
        <w:r w:rsidR="00C372C7">
          <w:rPr>
            <w:rStyle w:val="Lienhypertexte"/>
            <w:rFonts w:ascii="Open Sans" w:hAnsi="Open Sans" w:cs="Open Sans"/>
            <w:sz w:val="21"/>
            <w:szCs w:val="21"/>
          </w:rPr>
          <w:t>27/06/2022 : IR - Prorogation du dispositif « Denormandie ancien » (loi n° 2021-1900 du 30 décembre 2021 de finances pour 2022, art. 75)</w:t>
        </w:r>
      </w:hyperlink>
    </w:p>
    <w:p w14:paraId="66742EC2" w14:textId="3B55B3E7" w:rsidR="00D5473F" w:rsidRDefault="00D5473F" w:rsidP="00D5473F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28"/>
      <w:headerReference w:type="first" r:id="rId29"/>
      <w:footerReference w:type="first" r:id="rId30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1479A" w14:textId="77777777" w:rsidR="00AA108A" w:rsidRDefault="00AA108A">
      <w:r>
        <w:separator/>
      </w:r>
    </w:p>
  </w:endnote>
  <w:endnote w:type="continuationSeparator" w:id="0">
    <w:p w14:paraId="1AEAE8F0" w14:textId="77777777" w:rsidR="00AA108A" w:rsidRDefault="00AA1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FE84FB-8FD3-41C6-87D4-BBC377EB7226}"/>
    <w:embedBold r:id="rId2" w:fontKey="{63B6FE9C-0243-4B43-91A7-D7C70F38E50D}"/>
    <w:embedBoldItalic r:id="rId3" w:fontKey="{F075CF6B-B5CB-4125-AED1-C5441E5581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1E0F00FB-A24A-4A32-AAEF-BED31A12B8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30CA7249-0CEA-4095-9FDA-2E9055733BE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A851A84E-807A-4019-88C4-E8A8B7B0C0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7786C" w14:textId="77777777" w:rsidR="00AA108A" w:rsidRDefault="00AA108A">
      <w:r>
        <w:separator/>
      </w:r>
    </w:p>
  </w:footnote>
  <w:footnote w:type="continuationSeparator" w:id="0">
    <w:p w14:paraId="68A8CE5F" w14:textId="77777777" w:rsidR="00AA108A" w:rsidRDefault="00AA1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6AF0A7AF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DA3938">
            <w:rPr>
              <w:noProof/>
              <w:sz w:val="20"/>
            </w:rPr>
            <w:t>Comptes-La revue-2022-0</w:t>
          </w:r>
          <w:r w:rsidR="009D760D">
            <w:rPr>
              <w:noProof/>
              <w:sz w:val="20"/>
            </w:rPr>
            <w:t>7</w:t>
          </w:r>
          <w:r>
            <w:rPr>
              <w:sz w:val="20"/>
            </w:rPr>
            <w:fldChar w:fldCharType="end"/>
          </w:r>
        </w:p>
        <w:p w14:paraId="6D4A75FB" w14:textId="07F32DD1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C372C7">
            <w:rPr>
              <w:sz w:val="20"/>
            </w:rPr>
            <w:t>5 août</w:t>
          </w:r>
          <w:r w:rsidR="00A527BA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r w:rsidRPr="00F5762B">
            <w:rPr>
              <w:color w:val="143300"/>
              <w:spacing w:val="16"/>
              <w:w w:val="97"/>
              <w:sz w:val="20"/>
            </w:rPr>
            <w:t>s.a.r.l.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26" type="#_x0000_t75" style="width:3in;height:3in" o:bullet="t"/>
    </w:pict>
  </w:numPicBullet>
  <w:numPicBullet w:numPicBulletId="1">
    <w:pict>
      <v:shape id="_x0000_i2427" type="#_x0000_t75" style="width:3in;height:3in" o:bullet="t"/>
    </w:pict>
  </w:numPicBullet>
  <w:numPicBullet w:numPicBulletId="2">
    <w:pict>
      <v:shape id="_x0000_i2428" type="#_x0000_t75" style="width:3in;height:3in" o:bullet="t"/>
    </w:pict>
  </w:numPicBullet>
  <w:numPicBullet w:numPicBulletId="3">
    <w:pict>
      <v:shape id="_x0000_i2429" type="#_x0000_t75" style="width:3in;height:3in" o:bullet="t"/>
    </w:pict>
  </w:numPicBullet>
  <w:numPicBullet w:numPicBulletId="4">
    <w:pict>
      <v:shape id="_x0000_i2430" type="#_x0000_t75" style="width:3in;height:3in" o:bullet="t"/>
    </w:pict>
  </w:numPicBullet>
  <w:numPicBullet w:numPicBulletId="5">
    <w:pict>
      <v:shape id="_x0000_i2431" type="#_x0000_t75" style="width:3in;height:3in" o:bullet="t"/>
    </w:pict>
  </w:numPicBullet>
  <w:numPicBullet w:numPicBulletId="6">
    <w:pict>
      <v:shape id="_x0000_i2432" type="#_x0000_t75" style="width:3in;height:3in" o:bullet="t"/>
    </w:pict>
  </w:numPicBullet>
  <w:numPicBullet w:numPicBulletId="7">
    <w:pict>
      <v:shape id="_x0000_i2433" type="#_x0000_t75" style="width:3in;height:3in" o:bullet="t"/>
    </w:pict>
  </w:numPicBullet>
  <w:numPicBullet w:numPicBulletId="8">
    <w:pict>
      <v:shape id="_x0000_i2434" type="#_x0000_t75" style="width:3in;height:3in" o:bullet="t"/>
    </w:pict>
  </w:numPicBullet>
  <w:numPicBullet w:numPicBulletId="9">
    <w:pict>
      <v:shape id="_x0000_i2435" type="#_x0000_t75" style="width:3in;height:3in" o:bullet="t"/>
    </w:pict>
  </w:numPicBullet>
  <w:numPicBullet w:numPicBulletId="10">
    <w:pict>
      <v:shape id="_x0000_i2436" type="#_x0000_t75" style="width:3in;height:3in" o:bullet="t"/>
    </w:pict>
  </w:numPicBullet>
  <w:numPicBullet w:numPicBulletId="11">
    <w:pict>
      <v:shape id="_x0000_i2437" type="#_x0000_t75" style="width:3in;height:3in" o:bullet="t"/>
    </w:pict>
  </w:numPicBullet>
  <w:numPicBullet w:numPicBulletId="12">
    <w:pict>
      <v:shape id="_x0000_i2438" type="#_x0000_t75" style="width:3in;height:3in" o:bullet="t"/>
    </w:pict>
  </w:numPicBullet>
  <w:numPicBullet w:numPicBulletId="13">
    <w:pict>
      <v:shape id="_x0000_i2439" type="#_x0000_t75" style="width:3in;height:3in" o:bullet="t"/>
    </w:pict>
  </w:numPicBullet>
  <w:numPicBullet w:numPicBulletId="14">
    <w:pict>
      <v:shape id="_x0000_i2440" type="#_x0000_t75" style="width:3in;height:3in" o:bullet="t"/>
    </w:pict>
  </w:numPicBullet>
  <w:numPicBullet w:numPicBulletId="15">
    <w:pict>
      <v:shape id="_x0000_i2441" type="#_x0000_t75" style="width:3in;height:3in" o:bullet="t"/>
    </w:pict>
  </w:numPicBullet>
  <w:numPicBullet w:numPicBulletId="16">
    <w:pict>
      <v:shape id="_x0000_i2442" type="#_x0000_t75" style="width:3in;height:3in" o:bullet="t"/>
    </w:pict>
  </w:numPicBullet>
  <w:numPicBullet w:numPicBulletId="17">
    <w:pict>
      <v:shape id="_x0000_i2443" type="#_x0000_t75" style="width:3in;height:3in" o:bullet="t"/>
    </w:pict>
  </w:numPicBullet>
  <w:numPicBullet w:numPicBulletId="18">
    <w:pict>
      <v:shape id="_x0000_i2444" type="#_x0000_t75" style="width:3in;height:3in" o:bullet="t"/>
    </w:pict>
  </w:numPicBullet>
  <w:numPicBullet w:numPicBulletId="19">
    <w:pict>
      <v:shape id="_x0000_i2445" type="#_x0000_t75" style="width:3in;height:3in" o:bullet="t"/>
    </w:pict>
  </w:numPicBullet>
  <w:abstractNum w:abstractNumId="0" w15:restartNumberingAfterBreak="0">
    <w:nsid w:val="06C035E0"/>
    <w:multiLevelType w:val="multilevel"/>
    <w:tmpl w:val="33E6595E"/>
    <w:lvl w:ilvl="0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4F03BC"/>
    <w:multiLevelType w:val="multilevel"/>
    <w:tmpl w:val="CDFC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67B06"/>
    <w:multiLevelType w:val="multilevel"/>
    <w:tmpl w:val="BF50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C44DF"/>
    <w:multiLevelType w:val="multilevel"/>
    <w:tmpl w:val="B680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B7443"/>
    <w:multiLevelType w:val="multilevel"/>
    <w:tmpl w:val="056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E07002"/>
    <w:multiLevelType w:val="multilevel"/>
    <w:tmpl w:val="8FC0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5541D3"/>
    <w:multiLevelType w:val="multilevel"/>
    <w:tmpl w:val="FF8C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926610"/>
    <w:multiLevelType w:val="hybridMultilevel"/>
    <w:tmpl w:val="8FA2A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D4431E"/>
    <w:multiLevelType w:val="multilevel"/>
    <w:tmpl w:val="501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E51AC6"/>
    <w:multiLevelType w:val="multilevel"/>
    <w:tmpl w:val="A9E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180745">
    <w:abstractNumId w:val="8"/>
  </w:num>
  <w:num w:numId="2" w16cid:durableId="1885019750">
    <w:abstractNumId w:val="6"/>
  </w:num>
  <w:num w:numId="3" w16cid:durableId="2042855240">
    <w:abstractNumId w:val="1"/>
  </w:num>
  <w:num w:numId="4" w16cid:durableId="1421364228">
    <w:abstractNumId w:val="41"/>
  </w:num>
  <w:num w:numId="5" w16cid:durableId="167402574">
    <w:abstractNumId w:val="34"/>
  </w:num>
  <w:num w:numId="6" w16cid:durableId="2004311969">
    <w:abstractNumId w:val="29"/>
  </w:num>
  <w:num w:numId="7" w16cid:durableId="153761865">
    <w:abstractNumId w:val="11"/>
  </w:num>
  <w:num w:numId="8" w16cid:durableId="1358964384">
    <w:abstractNumId w:val="22"/>
  </w:num>
  <w:num w:numId="9" w16cid:durableId="628323693">
    <w:abstractNumId w:val="27"/>
  </w:num>
  <w:num w:numId="10" w16cid:durableId="291909674">
    <w:abstractNumId w:val="23"/>
  </w:num>
  <w:num w:numId="11" w16cid:durableId="74668201">
    <w:abstractNumId w:val="19"/>
  </w:num>
  <w:num w:numId="12" w16cid:durableId="981620185">
    <w:abstractNumId w:val="20"/>
  </w:num>
  <w:num w:numId="13" w16cid:durableId="913973989">
    <w:abstractNumId w:val="42"/>
  </w:num>
  <w:num w:numId="14" w16cid:durableId="674377507">
    <w:abstractNumId w:val="32"/>
  </w:num>
  <w:num w:numId="15" w16cid:durableId="1192500311">
    <w:abstractNumId w:val="35"/>
  </w:num>
  <w:num w:numId="16" w16cid:durableId="2000425802">
    <w:abstractNumId w:val="3"/>
  </w:num>
  <w:num w:numId="17" w16cid:durableId="141436506">
    <w:abstractNumId w:val="36"/>
  </w:num>
  <w:num w:numId="18" w16cid:durableId="375355512">
    <w:abstractNumId w:val="25"/>
  </w:num>
  <w:num w:numId="19" w16cid:durableId="864446093">
    <w:abstractNumId w:val="31"/>
  </w:num>
  <w:num w:numId="20" w16cid:durableId="1193959937">
    <w:abstractNumId w:val="33"/>
  </w:num>
  <w:num w:numId="21" w16cid:durableId="220335471">
    <w:abstractNumId w:val="37"/>
  </w:num>
  <w:num w:numId="22" w16cid:durableId="2037727476">
    <w:abstractNumId w:val="39"/>
  </w:num>
  <w:num w:numId="23" w16cid:durableId="1899120763">
    <w:abstractNumId w:val="5"/>
  </w:num>
  <w:num w:numId="24" w16cid:durableId="1034232715">
    <w:abstractNumId w:val="24"/>
  </w:num>
  <w:num w:numId="25" w16cid:durableId="2016178960">
    <w:abstractNumId w:val="12"/>
  </w:num>
  <w:num w:numId="26" w16cid:durableId="428737928">
    <w:abstractNumId w:val="16"/>
  </w:num>
  <w:num w:numId="27" w16cid:durableId="1337535355">
    <w:abstractNumId w:val="26"/>
  </w:num>
  <w:num w:numId="28" w16cid:durableId="982809645">
    <w:abstractNumId w:val="14"/>
  </w:num>
  <w:num w:numId="29" w16cid:durableId="666523111">
    <w:abstractNumId w:val="4"/>
  </w:num>
  <w:num w:numId="30" w16cid:durableId="455871344">
    <w:abstractNumId w:val="17"/>
  </w:num>
  <w:num w:numId="31" w16cid:durableId="290795133">
    <w:abstractNumId w:val="43"/>
  </w:num>
  <w:num w:numId="32" w16cid:durableId="1300762458">
    <w:abstractNumId w:val="38"/>
  </w:num>
  <w:num w:numId="33" w16cid:durableId="492525647">
    <w:abstractNumId w:val="2"/>
  </w:num>
  <w:num w:numId="34" w16cid:durableId="1234463176">
    <w:abstractNumId w:val="30"/>
    <w:lvlOverride w:ilvl="0">
      <w:startOverride w:val="17"/>
    </w:lvlOverride>
  </w:num>
  <w:num w:numId="35" w16cid:durableId="2042320603">
    <w:abstractNumId w:val="30"/>
    <w:lvlOverride w:ilvl="0">
      <w:startOverride w:val="18"/>
    </w:lvlOverride>
  </w:num>
  <w:num w:numId="36" w16cid:durableId="804355016">
    <w:abstractNumId w:val="30"/>
    <w:lvlOverride w:ilvl="0">
      <w:startOverride w:val="19"/>
    </w:lvlOverride>
  </w:num>
  <w:num w:numId="37" w16cid:durableId="1055860416">
    <w:abstractNumId w:val="30"/>
    <w:lvlOverride w:ilvl="0">
      <w:startOverride w:val="20"/>
    </w:lvlOverride>
  </w:num>
  <w:num w:numId="38" w16cid:durableId="753358676">
    <w:abstractNumId w:val="30"/>
    <w:lvlOverride w:ilvl="0">
      <w:startOverride w:val="21"/>
    </w:lvlOverride>
  </w:num>
  <w:num w:numId="39" w16cid:durableId="1058363009">
    <w:abstractNumId w:val="30"/>
    <w:lvlOverride w:ilvl="0">
      <w:startOverride w:val="22"/>
    </w:lvlOverride>
  </w:num>
  <w:num w:numId="40" w16cid:durableId="1471483718">
    <w:abstractNumId w:val="30"/>
    <w:lvlOverride w:ilvl="0">
      <w:startOverride w:val="23"/>
    </w:lvlOverride>
  </w:num>
  <w:num w:numId="41" w16cid:durableId="1589850216">
    <w:abstractNumId w:val="18"/>
  </w:num>
  <w:num w:numId="42" w16cid:durableId="2044361687">
    <w:abstractNumId w:val="0"/>
  </w:num>
  <w:num w:numId="43" w16cid:durableId="1050423436">
    <w:abstractNumId w:val="10"/>
  </w:num>
  <w:num w:numId="44" w16cid:durableId="338628418">
    <w:abstractNumId w:val="40"/>
  </w:num>
  <w:num w:numId="45" w16cid:durableId="982272140">
    <w:abstractNumId w:val="15"/>
  </w:num>
  <w:num w:numId="46" w16cid:durableId="74284975">
    <w:abstractNumId w:val="21"/>
  </w:num>
  <w:num w:numId="47" w16cid:durableId="1212495498">
    <w:abstractNumId w:val="9"/>
  </w:num>
  <w:num w:numId="48" w16cid:durableId="1680742140">
    <w:abstractNumId w:val="13"/>
  </w:num>
  <w:num w:numId="49" w16cid:durableId="545529028">
    <w:abstractNumId w:val="7"/>
  </w:num>
  <w:num w:numId="50" w16cid:durableId="183442295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4D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5B52"/>
    <w:rsid w:val="000467C1"/>
    <w:rsid w:val="00046CB6"/>
    <w:rsid w:val="00046E70"/>
    <w:rsid w:val="0005057B"/>
    <w:rsid w:val="00050B4B"/>
    <w:rsid w:val="000511E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76F36"/>
    <w:rsid w:val="00080DE8"/>
    <w:rsid w:val="00080F60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2FB6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138C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54A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271C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3E93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6E6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6A85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026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5FE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CB"/>
    <w:rsid w:val="005056D4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7E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3C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67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1DEA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34E8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D760D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1A4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78E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2F6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18BD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08A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923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47B8F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59E"/>
    <w:rsid w:val="00BF7355"/>
    <w:rsid w:val="00C000E0"/>
    <w:rsid w:val="00C00E85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0D37"/>
    <w:rsid w:val="00C1151E"/>
    <w:rsid w:val="00C11D16"/>
    <w:rsid w:val="00C11DC5"/>
    <w:rsid w:val="00C12B8F"/>
    <w:rsid w:val="00C135F7"/>
    <w:rsid w:val="00C138F4"/>
    <w:rsid w:val="00C1475F"/>
    <w:rsid w:val="00C16027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372C7"/>
    <w:rsid w:val="00C37F9C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5D1A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904"/>
    <w:rsid w:val="00D155D9"/>
    <w:rsid w:val="00D1561B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2601"/>
    <w:rsid w:val="00D53B9F"/>
    <w:rsid w:val="00D5408F"/>
    <w:rsid w:val="00D5473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7CB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1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8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3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2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8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0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6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8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5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7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5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13675-PGP.html/ACTU-2022-00116" TargetMode="External"/><Relationship Id="rId13" Type="http://schemas.openxmlformats.org/officeDocument/2006/relationships/hyperlink" Target="https://www.legifrance.gouv.fr/loda/id/JORFTEXT000046070447/?isSuggest=true" TargetMode="External"/><Relationship Id="rId18" Type="http://schemas.openxmlformats.org/officeDocument/2006/relationships/hyperlink" Target="https://bofip.impots.gouv.fr/bofip/13488-PGP.html/ACTU-2022-00022" TargetMode="External"/><Relationship Id="rId26" Type="http://schemas.openxmlformats.org/officeDocument/2006/relationships/hyperlink" Target="https://bofip.impots.gouv.fr/bofip/13489-PGP.html/ACTU-2022-000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bofip.impots.gouv.fr/bofip/13667-PGP.html/ACTU-2022-0011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nc.gouv.fr/files/live/sites/anc/files/contributed/ANC/1_Normes_fran%c3%a7aises/Reglements/2022/R2022_04/R2022_04_version-commentee.pdf" TargetMode="External"/><Relationship Id="rId17" Type="http://schemas.openxmlformats.org/officeDocument/2006/relationships/hyperlink" Target="https://bofip.impots.gouv.fr/bofip/13520-PGP.html/ACTU-2022-00047" TargetMode="External"/><Relationship Id="rId25" Type="http://schemas.openxmlformats.org/officeDocument/2006/relationships/hyperlink" Target="https://bofip.impots.gouv.fr/bofip/13517-PGP.html/ACTU-2022-000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fip.impots.gouv.fr/bofip/13629-PGP.html/ACTU-2022-00098" TargetMode="External"/><Relationship Id="rId20" Type="http://schemas.openxmlformats.org/officeDocument/2006/relationships/hyperlink" Target="https://bofip.impots.gouv.fr/bofip/13538-PGP.html/ACTU-2022-00059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c.gouv.fr/files/live/sites/anc/files/contributed/ANC/1_Normes_fran%c3%a7aises/Reglements/2022/R2022_04/R2022_04.pdf" TargetMode="External"/><Relationship Id="rId24" Type="http://schemas.openxmlformats.org/officeDocument/2006/relationships/hyperlink" Target="https://bofip.impots.gouv.fr/bofip/13532-PGP.html/ACTU-2022-0005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ofip.impots.gouv.fr/bofip/13675-PGP.html/ACTU-2022-00116" TargetMode="External"/><Relationship Id="rId23" Type="http://schemas.openxmlformats.org/officeDocument/2006/relationships/hyperlink" Target="https://bofip.impots.gouv.fr/bofip/13501-PGP.html/ACTU-2022-00030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curia.europa.eu/juris/liste.jsf?lgrec=fr&amp;td=;ALL&amp;language=fr&amp;num=C-218/21&amp;jur=C" TargetMode="External"/><Relationship Id="rId19" Type="http://schemas.openxmlformats.org/officeDocument/2006/relationships/hyperlink" Target="https://bofip.impots.gouv.fr/bofip/13666-PGP.html/ACTU-2022-0011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loda/id/JORFTEXT000046081100?init=true&amp;page=1&amp;query=2022-1033&amp;searchField=ALL&amp;tab_selection=all" TargetMode="External"/><Relationship Id="rId14" Type="http://schemas.openxmlformats.org/officeDocument/2006/relationships/hyperlink" Target="https://bofip.impots.gouv.fr/bofip/13545-PGP.html/ACTU-2022-00063" TargetMode="External"/><Relationship Id="rId22" Type="http://schemas.openxmlformats.org/officeDocument/2006/relationships/hyperlink" Target="https://bofip.impots.gouv.fr/bofip/13610-PGP.html/ACTU-2022-00090" TargetMode="External"/><Relationship Id="rId27" Type="http://schemas.openxmlformats.org/officeDocument/2006/relationships/hyperlink" Target="https://bofip.impots.gouv.fr/bofip/13515-PGP.html/ACTU-2022-00043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5</Pages>
  <Words>1700</Words>
  <Characters>9351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11029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21</cp:revision>
  <cp:lastPrinted>2020-08-04T09:31:00Z</cp:lastPrinted>
  <dcterms:created xsi:type="dcterms:W3CDTF">2022-05-28T13:59:00Z</dcterms:created>
  <dcterms:modified xsi:type="dcterms:W3CDTF">2022-08-05T13:40:00Z</dcterms:modified>
</cp:coreProperties>
</file>