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4BDA89EA"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307714">
              <w:rPr>
                <w:rFonts w:ascii="Times New Roman" w:eastAsia="Times New Roman" w:hAnsi="Times New Roman"/>
                <w:noProof/>
                <w:sz w:val="20"/>
              </w:rPr>
              <w:t>2-0</w:t>
            </w:r>
            <w:r w:rsidR="00C16027">
              <w:rPr>
                <w:rFonts w:ascii="Times New Roman" w:eastAsia="Times New Roman" w:hAnsi="Times New Roman"/>
                <w:noProof/>
                <w:sz w:val="20"/>
              </w:rPr>
              <w:t>6</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469AD179" w:rsidR="003565C4" w:rsidRPr="00990583" w:rsidRDefault="00E911FE" w:rsidP="00E911FE">
            <w:pPr>
              <w:pStyle w:val="Corpsdetexte"/>
              <w:spacing w:before="0" w:after="0"/>
              <w:ind w:left="-8"/>
            </w:pPr>
            <w:r w:rsidRPr="00990583">
              <w:t>Paris</w:t>
            </w:r>
            <w:r w:rsidR="00B37B52" w:rsidRPr="00990583">
              <w:t xml:space="preserve">, le </w:t>
            </w:r>
            <w:r w:rsidR="00405026">
              <w:t>28</w:t>
            </w:r>
            <w:r w:rsidR="00312B49">
              <w:t xml:space="preserve"> </w:t>
            </w:r>
            <w:r w:rsidR="00C16027">
              <w:t>Juin</w:t>
            </w:r>
            <w:r w:rsidR="003B3DDE">
              <w:t xml:space="preserve"> </w:t>
            </w:r>
            <w:r w:rsidR="00A57E3D" w:rsidRPr="00990583">
              <w:t>202</w:t>
            </w:r>
            <w:r w:rsidR="00307714">
              <w:t>2</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531F0390" w:rsidR="00D1561B" w:rsidRDefault="00596118" w:rsidP="00A01213">
      <w:pPr>
        <w:spacing w:before="120" w:after="0" w:line="240" w:lineRule="auto"/>
        <w:ind w:left="1701" w:hanging="1701"/>
      </w:pPr>
      <w:r w:rsidRPr="00122165">
        <w:rPr>
          <w:b/>
        </w:rPr>
        <w:t>IS :</w:t>
      </w:r>
      <w:r w:rsidR="00D47E79">
        <w:t xml:space="preserve"> </w:t>
      </w:r>
      <w:r w:rsidR="00D47E79">
        <w:tab/>
      </w:r>
      <w:r w:rsidR="00C10D37">
        <w:t>Obligations déclaratives pour les dons aux OSBL -</w:t>
      </w:r>
    </w:p>
    <w:p w14:paraId="073D1CB1" w14:textId="2C72EF0D" w:rsidR="00916F7D" w:rsidRDefault="00596118" w:rsidP="00A01213">
      <w:pPr>
        <w:spacing w:before="120" w:after="0" w:line="240" w:lineRule="auto"/>
        <w:ind w:left="1701" w:hanging="1701"/>
      </w:pPr>
      <w:r w:rsidRPr="00122165">
        <w:rPr>
          <w:b/>
        </w:rPr>
        <w:t>TVA :</w:t>
      </w:r>
      <w:r w:rsidR="00DB56D6">
        <w:t xml:space="preserve"> </w:t>
      </w:r>
      <w:r w:rsidR="00DB56D6">
        <w:tab/>
      </w:r>
      <w:r w:rsidR="00C10D37">
        <w:t>Transmission d’une universalité de biens inapplicable si la cession de l’immeuble ne relève pas de la TVA ou s’il s’agit</w:t>
      </w:r>
      <w:r w:rsidR="00A818BD">
        <w:t xml:space="preserve"> de l’acquisition par le crédit preneur auprès du crédit bailleur -</w:t>
      </w:r>
    </w:p>
    <w:p w14:paraId="4E8276DC" w14:textId="2B5BFA1B" w:rsidR="001261C0" w:rsidRDefault="00596118" w:rsidP="00A01213">
      <w:pPr>
        <w:spacing w:before="120" w:after="0" w:line="240" w:lineRule="auto"/>
        <w:ind w:left="1701" w:hanging="1701"/>
      </w:pPr>
      <w:r w:rsidRPr="00122165">
        <w:rPr>
          <w:b/>
        </w:rPr>
        <w:t>Locaux :</w:t>
      </w:r>
      <w:r w:rsidR="004A7406">
        <w:tab/>
      </w:r>
      <w:r w:rsidR="00A818BD">
        <w:t>Transfert de la part départementale de la taxe foncière aux communes – Régime des exonérations de taxe foncière</w:t>
      </w:r>
      <w:r w:rsidR="00393E93">
        <w:t xml:space="preserve"> pour les bailleurs sociaux -</w:t>
      </w:r>
    </w:p>
    <w:p w14:paraId="7E16B77A" w14:textId="17E17B46" w:rsidR="004A7406" w:rsidRDefault="00596118" w:rsidP="00A01213">
      <w:pPr>
        <w:spacing w:before="120" w:after="0" w:line="240" w:lineRule="auto"/>
        <w:ind w:left="1701" w:hanging="1701"/>
      </w:pPr>
      <w:r w:rsidRPr="00122165">
        <w:rPr>
          <w:b/>
        </w:rPr>
        <w:t>TS :</w:t>
      </w:r>
      <w:r>
        <w:t xml:space="preserve"> </w:t>
      </w:r>
      <w:r>
        <w:tab/>
      </w:r>
      <w:r w:rsidR="00A23362">
        <w:t>Rien à signaler</w:t>
      </w:r>
    </w:p>
    <w:p w14:paraId="4889B031" w14:textId="3A0EA4E3" w:rsidR="00B50E23" w:rsidRDefault="00596118" w:rsidP="00A01213">
      <w:pPr>
        <w:spacing w:before="120" w:after="0" w:line="240" w:lineRule="auto"/>
        <w:ind w:left="1701" w:hanging="1701"/>
      </w:pPr>
      <w:r w:rsidRPr="00122165">
        <w:rPr>
          <w:b/>
        </w:rPr>
        <w:t>Divers</w:t>
      </w:r>
      <w:r w:rsidR="004A7406">
        <w:t xml:space="preserve"> :</w:t>
      </w:r>
      <w:r w:rsidR="004A7406">
        <w:tab/>
      </w:r>
      <w:r w:rsidR="00393E93">
        <w:t>Trajet pour aller au boulot et frais correspondant – Les encouragements à la production de logements – C3S pour les activités marchandes des établissements publics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5BEDB53D" w14:textId="77777777" w:rsidR="00A23362" w:rsidRDefault="00596118" w:rsidP="00A23362">
      <w:pPr>
        <w:spacing w:before="120" w:after="0" w:line="240" w:lineRule="auto"/>
        <w:ind w:left="1701" w:hanging="1701"/>
      </w:pPr>
      <w:r w:rsidRPr="00122165">
        <w:rPr>
          <w:b/>
        </w:rPr>
        <w:t>Publique :</w:t>
      </w:r>
      <w:r w:rsidR="00B00EF7">
        <w:t xml:space="preserve"> </w:t>
      </w:r>
      <w:r w:rsidR="00B00EF7">
        <w:tab/>
      </w:r>
      <w:r w:rsidR="00A23362">
        <w:t>Rien à signaler</w:t>
      </w:r>
    </w:p>
    <w:p w14:paraId="5F6B1C19" w14:textId="36E98ADE" w:rsidR="005A391C" w:rsidRDefault="00596118" w:rsidP="00A01213">
      <w:pPr>
        <w:spacing w:before="120" w:after="0" w:line="240" w:lineRule="auto"/>
        <w:ind w:left="1701" w:hanging="1701"/>
      </w:pPr>
      <w:r w:rsidRPr="00122165">
        <w:rPr>
          <w:b/>
        </w:rPr>
        <w:t>Privée :</w:t>
      </w:r>
      <w:r w:rsidR="00B00EF7">
        <w:t xml:space="preserve"> </w:t>
      </w:r>
      <w:r w:rsidR="00B00EF7">
        <w:tab/>
      </w:r>
      <w:r w:rsidR="00393E93">
        <w:t>Comptabilité des OPCV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20007EBA" w:rsidR="00B54BDA" w:rsidRDefault="00596118" w:rsidP="00A01213">
      <w:pPr>
        <w:spacing w:before="120" w:after="0" w:line="240" w:lineRule="auto"/>
        <w:ind w:left="1701" w:hanging="1701"/>
      </w:pPr>
      <w:r w:rsidRPr="00122165">
        <w:rPr>
          <w:b/>
        </w:rPr>
        <w:t>Textes :</w:t>
      </w:r>
      <w:r>
        <w:t xml:space="preserve"> </w:t>
      </w:r>
      <w:r w:rsidR="00223947">
        <w:tab/>
      </w:r>
      <w:r w:rsidR="00393E93">
        <w:t>Réduction des engagements de location pour les aides ANAH -</w:t>
      </w:r>
    </w:p>
    <w:p w14:paraId="41468130" w14:textId="020EE49B" w:rsidR="006B1E5F" w:rsidRDefault="00596118" w:rsidP="00A01213">
      <w:pPr>
        <w:spacing w:before="120" w:after="0" w:line="240" w:lineRule="auto"/>
        <w:ind w:left="1701" w:hanging="1701"/>
      </w:pPr>
      <w:r w:rsidRPr="00122165">
        <w:rPr>
          <w:b/>
        </w:rPr>
        <w:t>Réponses :</w:t>
      </w:r>
      <w:r>
        <w:t xml:space="preserve"> </w:t>
      </w:r>
      <w:r w:rsidR="00223947">
        <w:tab/>
      </w:r>
      <w:r w:rsidR="00393E93">
        <w:t>Rien à signaler</w:t>
      </w:r>
    </w:p>
    <w:p w14:paraId="48D6DEFC" w14:textId="7B16C160" w:rsidR="00CE269F" w:rsidRDefault="00596118" w:rsidP="00A01213">
      <w:pPr>
        <w:spacing w:before="120" w:after="0" w:line="240" w:lineRule="auto"/>
        <w:ind w:left="1701" w:hanging="1701"/>
      </w:pPr>
      <w:r w:rsidRPr="004E2169">
        <w:rPr>
          <w:b/>
          <w:spacing w:val="-8"/>
        </w:rPr>
        <w:t>Jurisprudence :</w:t>
      </w:r>
      <w:r>
        <w:t xml:space="preserve"> </w:t>
      </w:r>
      <w:r w:rsidR="00223947">
        <w:tab/>
      </w:r>
      <w:r w:rsidR="00DA06E7">
        <w:t>Rien à signaler</w:t>
      </w:r>
    </w:p>
    <w:p w14:paraId="76354D80" w14:textId="0E65440E" w:rsidR="00004382" w:rsidRDefault="00596118" w:rsidP="00A01213">
      <w:pPr>
        <w:spacing w:before="120" w:after="0" w:line="240" w:lineRule="auto"/>
        <w:ind w:left="1701" w:hanging="1701"/>
      </w:pPr>
      <w:r w:rsidRPr="00122165">
        <w:rPr>
          <w:b/>
        </w:rPr>
        <w:t>Divers :</w:t>
      </w:r>
      <w:r>
        <w:t xml:space="preserve"> </w:t>
      </w:r>
      <w:r>
        <w:tab/>
      </w:r>
      <w:r w:rsidR="00DA06E7">
        <w:t>Rien à signaler</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31CA75AB" w:rsidR="00091C56" w:rsidRPr="008A16AA" w:rsidRDefault="00E935A2" w:rsidP="008A16AA">
      <w:pPr>
        <w:pStyle w:val="Paragraphedeliste"/>
        <w:numPr>
          <w:ilvl w:val="1"/>
          <w:numId w:val="50"/>
        </w:numPr>
        <w:spacing w:before="120" w:after="0" w:line="240" w:lineRule="auto"/>
        <w:rPr>
          <w:rFonts w:cs="Times"/>
          <w:b/>
          <w:szCs w:val="24"/>
        </w:rPr>
      </w:pPr>
      <w:r w:rsidRPr="008A16AA">
        <w:rPr>
          <w:rFonts w:cs="Times"/>
          <w:b/>
          <w:szCs w:val="24"/>
        </w:rPr>
        <w:t>Impôt sur les sociétés</w:t>
      </w:r>
    </w:p>
    <w:p w14:paraId="1C66FEE4" w14:textId="65E08CB3" w:rsidR="007D6790" w:rsidRPr="00A3278E" w:rsidRDefault="00A3278E" w:rsidP="00A3278E">
      <w:pPr>
        <w:keepNext/>
        <w:spacing w:before="120" w:after="0" w:line="240" w:lineRule="auto"/>
        <w:rPr>
          <w:rFonts w:cs="Times"/>
          <w:color w:val="003300"/>
          <w:szCs w:val="24"/>
        </w:rPr>
      </w:pPr>
      <w:r w:rsidRPr="00A3278E">
        <w:rPr>
          <w:rFonts w:cs="Times"/>
          <w:color w:val="003300"/>
          <w:szCs w:val="24"/>
          <w:u w:val="single"/>
        </w:rPr>
        <w:t>Déductibilité des dons</w:t>
      </w:r>
      <w:r>
        <w:rPr>
          <w:rFonts w:cs="Times"/>
          <w:color w:val="003300"/>
          <w:szCs w:val="24"/>
        </w:rPr>
        <w:t xml:space="preserve"> – Les obligations déclaratives pour en bénéficier.</w:t>
      </w:r>
    </w:p>
    <w:p w14:paraId="45E8DA17" w14:textId="7E115154" w:rsidR="00A3278E" w:rsidRPr="0067663C" w:rsidRDefault="00C00E85" w:rsidP="0067663C">
      <w:pPr>
        <w:pStyle w:val="NormalWeb"/>
        <w:shd w:val="clear" w:color="auto" w:fill="FFFFFF"/>
        <w:spacing w:before="120" w:after="0"/>
        <w:ind w:left="567"/>
        <w:jc w:val="both"/>
        <w:rPr>
          <w:rFonts w:ascii="Times" w:hAnsi="Times" w:cs="Times"/>
          <w:color w:val="333333"/>
        </w:rPr>
      </w:pPr>
      <w:hyperlink r:id="rId8" w:tooltip="08/06/2022 : BIC - Nouvelle obligation déclarative des organismes sans but lucratif et obligation pour les entreprises de présenter un reçu fiscal (loi n° 2021-1109 du 24 août 2021 confortant le respect des principes de la République, art. 19)" w:history="1">
        <w:r w:rsidR="00A3278E" w:rsidRPr="00A3278E">
          <w:rPr>
            <w:rStyle w:val="Lienhypertexte"/>
            <w:rFonts w:ascii="Times" w:hAnsi="Times" w:cs="Times"/>
          </w:rPr>
          <w:t>08/06/2022 : BIC - Nouvelle obligation déclarative des organismes sans but lucratif et obligation pour les entreprises de présenter un reçu fiscal (loi n° 2021-1109 du 24 août 2021 confortant le respect des principes de la République, art. 19)</w:t>
        </w:r>
      </w:hyperlink>
    </w:p>
    <w:p w14:paraId="62E80419" w14:textId="45DBCD7D" w:rsidR="00516DD0" w:rsidRPr="00D61BAB" w:rsidRDefault="00516DD0" w:rsidP="00B655ED">
      <w:pPr>
        <w:spacing w:before="120" w:after="0" w:line="240" w:lineRule="auto"/>
        <w:rPr>
          <w:rFonts w:cs="Times"/>
          <w:b/>
          <w:szCs w:val="24"/>
        </w:rPr>
      </w:pPr>
      <w:r w:rsidRPr="00D61BAB">
        <w:rPr>
          <w:rFonts w:cs="Times"/>
          <w:b/>
          <w:szCs w:val="24"/>
        </w:rPr>
        <w:t>1.2</w:t>
      </w:r>
      <w:r w:rsidRPr="00D61BAB">
        <w:rPr>
          <w:rFonts w:cs="Times"/>
          <w:b/>
          <w:szCs w:val="24"/>
        </w:rPr>
        <w:tab/>
        <w:t>TVA</w:t>
      </w:r>
    </w:p>
    <w:p w14:paraId="167107F9" w14:textId="77777777" w:rsidR="00C10D37" w:rsidRDefault="00C10D37" w:rsidP="00C10D37">
      <w:pPr>
        <w:keepNext/>
        <w:spacing w:before="120" w:after="0" w:line="240" w:lineRule="auto"/>
        <w:rPr>
          <w:rFonts w:cs="Times"/>
          <w:szCs w:val="24"/>
        </w:rPr>
      </w:pPr>
      <w:r>
        <w:rPr>
          <w:color w:val="003300"/>
          <w:u w:val="single"/>
        </w:rPr>
        <w:t>TUB</w:t>
      </w:r>
      <w:r>
        <w:rPr>
          <w:color w:val="003300"/>
        </w:rPr>
        <w:t xml:space="preserve"> – La vente d’un immeuble de plus de 5 ans doit forcément donner lieu à reversement de la TVA.</w:t>
      </w:r>
    </w:p>
    <w:p w14:paraId="094B9D9F" w14:textId="77777777" w:rsidR="00C10D37" w:rsidRDefault="00C10D37" w:rsidP="00C10D37">
      <w:pPr>
        <w:keepNext/>
        <w:spacing w:before="120" w:after="0" w:line="240" w:lineRule="auto"/>
        <w:ind w:left="567"/>
        <w:rPr>
          <w:rFonts w:cs="Times"/>
          <w:szCs w:val="24"/>
        </w:rPr>
      </w:pPr>
      <w:hyperlink r:id="rId9" w:history="1">
        <w:r w:rsidRPr="00784670">
          <w:rPr>
            <w:rStyle w:val="Lienhypertexte"/>
            <w:rFonts w:cs="Times"/>
            <w:szCs w:val="24"/>
          </w:rPr>
          <w:t>CE n° 451379</w:t>
        </w:r>
      </w:hyperlink>
      <w:r>
        <w:rPr>
          <w:rFonts w:cs="Times"/>
          <w:szCs w:val="24"/>
        </w:rPr>
        <w:t xml:space="preserve"> </w:t>
      </w:r>
      <w:r w:rsidRPr="00784670">
        <w:rPr>
          <w:rFonts w:cs="Times"/>
          <w:szCs w:val="24"/>
        </w:rPr>
        <w:t>8e-3e ch. 31-5-2022, SA Anciens établissements Georges Schiever et fils</w:t>
      </w:r>
    </w:p>
    <w:p w14:paraId="34EA9F26" w14:textId="77777777" w:rsidR="00C10D37" w:rsidRDefault="00C10D37" w:rsidP="00C10D37">
      <w:pPr>
        <w:keepNext/>
        <w:spacing w:before="120" w:after="0" w:line="240" w:lineRule="auto"/>
        <w:rPr>
          <w:color w:val="003300"/>
        </w:rPr>
      </w:pPr>
      <w:r>
        <w:rPr>
          <w:color w:val="003300"/>
          <w:u w:val="single"/>
        </w:rPr>
        <w:t>TUB</w:t>
      </w:r>
      <w:r>
        <w:rPr>
          <w:color w:val="003300"/>
        </w:rPr>
        <w:t xml:space="preserve"> – La vente d’un immeuble par le crédit bailleur au crédit preneur ne relève pas de la dispense de TVA</w:t>
      </w:r>
    </w:p>
    <w:p w14:paraId="27E84C19" w14:textId="77777777" w:rsidR="00C10D37" w:rsidRDefault="00C10D37" w:rsidP="00C10D37">
      <w:pPr>
        <w:keepNext/>
        <w:spacing w:before="120" w:after="0" w:line="240" w:lineRule="auto"/>
        <w:ind w:left="567"/>
        <w:rPr>
          <w:rFonts w:cs="Times"/>
          <w:szCs w:val="24"/>
        </w:rPr>
      </w:pPr>
      <w:hyperlink r:id="rId10" w:history="1">
        <w:r w:rsidRPr="003A56E6">
          <w:rPr>
            <w:rStyle w:val="Lienhypertexte"/>
            <w:rFonts w:cs="Times"/>
            <w:szCs w:val="24"/>
          </w:rPr>
          <w:t>Rép. Grau n° 35808</w:t>
        </w:r>
      </w:hyperlink>
      <w:r>
        <w:rPr>
          <w:rFonts w:cs="Times"/>
          <w:szCs w:val="24"/>
        </w:rPr>
        <w:t xml:space="preserve">, </w:t>
      </w:r>
      <w:r w:rsidRPr="003A56E6">
        <w:rPr>
          <w:rFonts w:cs="Times"/>
          <w:szCs w:val="24"/>
        </w:rPr>
        <w:t xml:space="preserve">AN 5-4-2022 </w:t>
      </w:r>
    </w:p>
    <w:p w14:paraId="6CE58C92" w14:textId="15672C01" w:rsidR="00FF358C" w:rsidRPr="006320BB" w:rsidRDefault="00FF358C" w:rsidP="00B655ED">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27689B20" w14:textId="3D369508" w:rsidR="00C16027" w:rsidRDefault="00C37F9C" w:rsidP="00C37F9C">
      <w:pPr>
        <w:keepNext/>
        <w:spacing w:before="120" w:after="0" w:line="240" w:lineRule="auto"/>
        <w:rPr>
          <w:color w:val="003300"/>
        </w:rPr>
      </w:pPr>
      <w:r>
        <w:rPr>
          <w:color w:val="003300"/>
          <w:u w:val="single"/>
        </w:rPr>
        <w:t>Taxe foncière</w:t>
      </w:r>
      <w:r w:rsidR="00C135F7">
        <w:rPr>
          <w:color w:val="003300"/>
        </w:rPr>
        <w:t xml:space="preserve"> – </w:t>
      </w:r>
      <w:r>
        <w:rPr>
          <w:color w:val="003300"/>
        </w:rPr>
        <w:t>Les communes seront encore plus les interlocuteurs, notamment des bailleurs sociaux.</w:t>
      </w:r>
      <w:r w:rsidR="00C135F7">
        <w:rPr>
          <w:color w:val="003300"/>
        </w:rPr>
        <w:t xml:space="preserve"> </w:t>
      </w:r>
    </w:p>
    <w:p w14:paraId="3214D1EA" w14:textId="720019F6" w:rsidR="00C37F9C" w:rsidRPr="00C37F9C" w:rsidRDefault="00C00E85" w:rsidP="00C37F9C">
      <w:pPr>
        <w:pStyle w:val="NormalWeb"/>
        <w:shd w:val="clear" w:color="auto" w:fill="FFFFFF"/>
        <w:spacing w:before="120" w:after="0"/>
        <w:ind w:left="567"/>
        <w:jc w:val="both"/>
        <w:rPr>
          <w:rFonts w:ascii="Times" w:hAnsi="Times" w:cs="Times"/>
          <w:color w:val="333333"/>
        </w:rPr>
      </w:pPr>
      <w:hyperlink r:id="rId11" w:tooltip="23/06/2022 : IF - Conséquences du transfert de la part départementale de la taxe foncière sur les propriétés bâties aux communes sur les divers  dispositifs d'exonération et d'abattement  de taxe foncière sur les propriétés bâties (loi n° 2019-1479 du 28 décem" w:history="1">
        <w:r w:rsidR="00C37F9C" w:rsidRPr="00C37F9C">
          <w:rPr>
            <w:rStyle w:val="Lienhypertexte"/>
            <w:rFonts w:ascii="Times" w:hAnsi="Times" w:cs="Times"/>
          </w:rPr>
          <w:t>23/06/2022 : IF - Conséquences du transfert de la part départementale de la taxe foncière sur les propriétés bâties aux communes sur les divers dispositifs d'exonération et d'abattement de taxe foncière sur les propriétés bâties (loi n° 2019-1479 du 28 décembre 2019 de finances pour 2020, art. 16)</w:t>
        </w:r>
      </w:hyperlink>
    </w:p>
    <w:p w14:paraId="400E75CB" w14:textId="06F4FA34" w:rsidR="00A3278E" w:rsidRPr="00A3278E" w:rsidRDefault="00D5473F" w:rsidP="00A3278E">
      <w:pPr>
        <w:keepNext/>
        <w:spacing w:before="120" w:after="0" w:line="240" w:lineRule="auto"/>
        <w:rPr>
          <w:rFonts w:cs="Times"/>
          <w:szCs w:val="24"/>
        </w:rPr>
      </w:pPr>
      <w:r>
        <w:rPr>
          <w:color w:val="003300"/>
          <w:u w:val="single"/>
        </w:rPr>
        <w:t>Taxe foncière</w:t>
      </w:r>
      <w:r>
        <w:rPr>
          <w:color w:val="003300"/>
        </w:rPr>
        <w:t xml:space="preserve"> – Les adaptations du régime des exonérations de taxe pour les bailleurs sociaux : à connaître.</w:t>
      </w:r>
    </w:p>
    <w:p w14:paraId="4F2922A5" w14:textId="77777777" w:rsidR="00A3278E" w:rsidRPr="00A3278E" w:rsidRDefault="00C00E85" w:rsidP="00D5473F">
      <w:pPr>
        <w:pStyle w:val="NormalWeb"/>
        <w:shd w:val="clear" w:color="auto" w:fill="FFFFFF"/>
        <w:spacing w:before="120" w:after="0"/>
        <w:ind w:left="567"/>
        <w:jc w:val="both"/>
        <w:rPr>
          <w:rFonts w:ascii="Times" w:hAnsi="Times" w:cs="Times"/>
          <w:color w:val="333333"/>
        </w:rPr>
      </w:pPr>
      <w:hyperlink r:id="rId12" w:tooltip="08/06/2022 : IF - TFB - Champ d'application et territorialité - Diverses adaptations des exonérations de TFPB de longue durée en faveur du logement social et du logement locatif intermédiaire (loi n° 2016-1917 du 29 décembre 2016 de finances pour 2017, art. 94" w:history="1">
        <w:r w:rsidR="00A3278E" w:rsidRPr="00D5473F">
          <w:rPr>
            <w:rStyle w:val="Lienhypertexte"/>
            <w:rFonts w:ascii="Times" w:hAnsi="Times" w:cs="Times"/>
          </w:rPr>
          <w:t>08/06/2022 : IF - TFB - Champ d'application et territorialité - Diverses adaptations des exonérations de TFPB de longue durée en faveur du logement social et du logement locatif intermédiaire (loi n° 2016-1917 du 29 décembre 2016 de finances pour 2017, art. 94 et 95 ; loi n° 2017-1775 du 28 décembre 2017 de finances rectificative pour 2017, art. 31 ; loi n° 2017-1837 du 30 décembre 2017 de finances pour 2018, art. 101 ; ordonnance n° 2019-770 du 17 juillet 2019 relative à la partie législative du livre VIII du code de la construction et de l'habitation ; loi n° 2019-1479 du 28 décembre 2019 de finances pour 2020, art. 16 et 30 ; loi n° 2021-1900 du 30 décembre 2021 de finances pour 2022, art. 68 et 81)</w:t>
        </w:r>
      </w:hyperlink>
    </w:p>
    <w:p w14:paraId="034CD263" w14:textId="407A0590" w:rsidR="00426AED" w:rsidRPr="0030393C" w:rsidRDefault="00426AED" w:rsidP="00C16027">
      <w:pPr>
        <w:keepNext/>
        <w:spacing w:before="120" w:after="0" w:line="240" w:lineRule="auto"/>
        <w:rPr>
          <w:rFonts w:cs="Times"/>
          <w:b/>
          <w:szCs w:val="24"/>
        </w:rPr>
      </w:pPr>
      <w:r w:rsidRPr="0030393C">
        <w:rPr>
          <w:rFonts w:cs="Times"/>
          <w:b/>
          <w:szCs w:val="24"/>
        </w:rPr>
        <w:t>1.4</w:t>
      </w:r>
      <w:r w:rsidRPr="0030393C">
        <w:rPr>
          <w:rFonts w:cs="Times"/>
          <w:b/>
          <w:szCs w:val="24"/>
        </w:rPr>
        <w:tab/>
        <w:t>Taxes sur les salaires</w:t>
      </w:r>
    </w:p>
    <w:p w14:paraId="4808C57B" w14:textId="272C8F3C" w:rsidR="0030393C" w:rsidRPr="00A23362" w:rsidRDefault="008C638F" w:rsidP="00A23362">
      <w:pPr>
        <w:keepNext/>
        <w:spacing w:before="120" w:after="0" w:line="240" w:lineRule="auto"/>
        <w:rPr>
          <w:rFonts w:cs="Times"/>
          <w:color w:val="003300"/>
          <w:szCs w:val="24"/>
        </w:rPr>
      </w:pPr>
      <w:r w:rsidRPr="00D04802">
        <w:rPr>
          <w:color w:val="003300"/>
        </w:rPr>
        <w:t>Rien à signaler</w:t>
      </w:r>
    </w:p>
    <w:p w14:paraId="20AC9049" w14:textId="70635303" w:rsidR="00876847" w:rsidRDefault="00BA1DA3" w:rsidP="00786E3F">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1918E6A7" w14:textId="5D2B3F37" w:rsidR="003B3DDE" w:rsidRDefault="009F51A4" w:rsidP="009F51A4">
      <w:pPr>
        <w:keepNext/>
        <w:spacing w:before="120" w:after="0" w:line="240" w:lineRule="auto"/>
        <w:rPr>
          <w:rFonts w:cs="Times"/>
          <w:color w:val="003300"/>
          <w:u w:val="single"/>
        </w:rPr>
      </w:pPr>
      <w:r>
        <w:rPr>
          <w:color w:val="003300"/>
          <w:u w:val="single"/>
        </w:rPr>
        <w:t>Frais professionnels</w:t>
      </w:r>
      <w:r>
        <w:rPr>
          <w:color w:val="003300"/>
        </w:rPr>
        <w:t xml:space="preserve"> – Les avantages des employés pour payer leur trajet pour aller au travail et c’est pour la bonne cause : refroidir la planète.</w:t>
      </w:r>
    </w:p>
    <w:p w14:paraId="55512E72" w14:textId="77777777" w:rsidR="009F51A4" w:rsidRPr="009F51A4" w:rsidRDefault="00C00E85" w:rsidP="009F51A4">
      <w:pPr>
        <w:pStyle w:val="NormalWeb"/>
        <w:shd w:val="clear" w:color="auto" w:fill="FFFFFF"/>
        <w:spacing w:before="120" w:after="0"/>
        <w:ind w:left="567"/>
        <w:jc w:val="both"/>
        <w:rPr>
          <w:rFonts w:ascii="Times" w:hAnsi="Times" w:cs="Times"/>
          <w:color w:val="333333"/>
        </w:rPr>
      </w:pPr>
      <w:hyperlink r:id="rId13" w:tooltip="16/06/2022 : RSA - Relèvement des limites d'exonération d'avantages résultant de la prise en charge de frais engagés pour les déplacements entre la résidence habituelle et le lieu de travail (loi n° 2021-1104 du 22 août 2021 portant lutte contre le dérèglement" w:history="1">
        <w:r w:rsidR="009F51A4" w:rsidRPr="009F51A4">
          <w:rPr>
            <w:rStyle w:val="Lienhypertexte"/>
            <w:rFonts w:ascii="Times" w:hAnsi="Times" w:cs="Times"/>
          </w:rPr>
          <w:t>16/06/2022 : RSA - Relèvement des limites d'exonération d'avantages résultant de la prise en charge de frais engagés pour les déplacements entre la résidence habituelle et le lieu de travail (loi n° 2021-1104 du 22 août 2021 portant lutte contre le dérèglement climatique et renforcement de la résilience face à ses effets, art. 128 ; loi n° 2021-1900 du 30 décembre 2021 de finances pour 2022, art. 4)</w:t>
        </w:r>
      </w:hyperlink>
    </w:p>
    <w:p w14:paraId="5B017FAA" w14:textId="2B39A291" w:rsidR="00C16027" w:rsidRPr="009F51A4" w:rsidRDefault="009F51A4" w:rsidP="009F51A4">
      <w:pPr>
        <w:keepNext/>
        <w:spacing w:before="120" w:after="0" w:line="240" w:lineRule="auto"/>
        <w:rPr>
          <w:rFonts w:cs="Times"/>
          <w:color w:val="003300"/>
          <w:szCs w:val="24"/>
          <w:u w:val="single"/>
        </w:rPr>
      </w:pPr>
      <w:r>
        <w:rPr>
          <w:color w:val="003300"/>
          <w:u w:val="single"/>
        </w:rPr>
        <w:lastRenderedPageBreak/>
        <w:t>Production de logements sociaux</w:t>
      </w:r>
      <w:r>
        <w:rPr>
          <w:color w:val="003300"/>
        </w:rPr>
        <w:t xml:space="preserve"> – Les encouragements</w:t>
      </w:r>
      <w:r w:rsidR="00A3278E">
        <w:rPr>
          <w:color w:val="003300"/>
        </w:rPr>
        <w:t xml:space="preserve"> à agir.</w:t>
      </w:r>
    </w:p>
    <w:p w14:paraId="647F9D3A" w14:textId="77777777" w:rsidR="009F51A4" w:rsidRPr="009F51A4" w:rsidRDefault="00C00E85" w:rsidP="00A3278E">
      <w:pPr>
        <w:pStyle w:val="NormalWeb"/>
        <w:shd w:val="clear" w:color="auto" w:fill="FFFFFF"/>
        <w:spacing w:before="120" w:after="0"/>
        <w:ind w:left="567"/>
        <w:jc w:val="both"/>
        <w:rPr>
          <w:rFonts w:ascii="Times" w:hAnsi="Times" w:cs="Times"/>
          <w:color w:val="333333"/>
        </w:rPr>
      </w:pPr>
      <w:hyperlink r:id="rId14" w:tooltip="15/06/2022 : IR - IS - Extension de la réduction d'impôt prévue à l'article 199 undecies C du CGI aux travaux de démolition préalables à la construction de logements (loi n° 2021-1900 du 30 décembre 2021 de finances pour 2022, art. 73) ; aménagement du quota d" w:history="1">
        <w:r w:rsidR="009F51A4" w:rsidRPr="00A3278E">
          <w:rPr>
            <w:rStyle w:val="Lienhypertexte"/>
            <w:rFonts w:ascii="Times" w:hAnsi="Times" w:cs="Times"/>
          </w:rPr>
          <w:t>15/06/2022 : IR - IS - Extension de la réduction d'impôt prévue à l'article 199 undecies C du CGI aux travaux de démolition préalables à la construction de logements (loi n° 2021-1900 du 30 décembre 2021 de finances pour 2022, art. 73) ; aménagement du quota de logements financés à l’aide de prêts locatifs sociaux dans le cadre du crédit d'impôt prévu à l'article 244 quater X du CGI (loi n° 2021-1900 du 30 décembre 2021 de finances pour 2022, art. 88) ; actualisation des plafonds de ressources et de loyers applicables au titre de l’année 2022 dans le cadre des dispositifs d'aide fiscale à l'investissement outre-mer dans le secteur du logement social (CGI, art. 199 undecies C ; CGI, art. 244 quater X et CGI, art. 244 quater Y)</w:t>
        </w:r>
      </w:hyperlink>
    </w:p>
    <w:p w14:paraId="687AFA0B" w14:textId="644F6DBB" w:rsidR="009F51A4" w:rsidRDefault="00C55D1A" w:rsidP="00B655ED">
      <w:pPr>
        <w:keepNext/>
        <w:spacing w:before="120" w:after="0" w:line="240" w:lineRule="auto"/>
        <w:rPr>
          <w:color w:val="003300"/>
        </w:rPr>
      </w:pPr>
      <w:r>
        <w:rPr>
          <w:color w:val="003300"/>
          <w:u w:val="single"/>
        </w:rPr>
        <w:t>C3S</w:t>
      </w:r>
      <w:r>
        <w:rPr>
          <w:color w:val="003300"/>
        </w:rPr>
        <w:t xml:space="preserve"> – Les établissements publics y sont soumis, pour leurs activités marchandes.</w:t>
      </w:r>
    </w:p>
    <w:p w14:paraId="5631916C" w14:textId="4DDD01CE" w:rsidR="00C55D1A" w:rsidRPr="00C55D1A" w:rsidRDefault="00C00E85" w:rsidP="00C55D1A">
      <w:pPr>
        <w:keepNext/>
        <w:spacing w:before="120" w:after="0" w:line="240" w:lineRule="auto"/>
        <w:ind w:left="567"/>
        <w:rPr>
          <w:color w:val="003300"/>
        </w:rPr>
      </w:pPr>
      <w:hyperlink r:id="rId15" w:history="1">
        <w:r w:rsidR="00C55D1A" w:rsidRPr="00C55D1A">
          <w:rPr>
            <w:rStyle w:val="Lienhypertexte"/>
          </w:rPr>
          <w:t>Cass. 2e civ. n° 20-17.704</w:t>
        </w:r>
      </w:hyperlink>
      <w:r w:rsidR="00C55D1A" w:rsidRPr="00C55D1A">
        <w:rPr>
          <w:color w:val="003300"/>
        </w:rPr>
        <w:t xml:space="preserve"> F-D 17-2-2022, Établissement public foncier Ouest-Rhône-Alpes c/ Urssaf de Provence-Alpes-Côte d'Azur</w:t>
      </w:r>
    </w:p>
    <w:p w14:paraId="75088FC0" w14:textId="77777777" w:rsidR="009F51A4" w:rsidRDefault="009F51A4" w:rsidP="00B655ED">
      <w:pPr>
        <w:keepNext/>
        <w:spacing w:before="120" w:after="0" w:line="240" w:lineRule="auto"/>
        <w:rPr>
          <w:color w:val="003300"/>
          <w:u w:val="single"/>
        </w:rPr>
      </w:pPr>
    </w:p>
    <w:p w14:paraId="20C76B2E" w14:textId="08D46534" w:rsidR="00E935A2" w:rsidRPr="006320BB" w:rsidRDefault="00E935A2" w:rsidP="00B655ED">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5058EBDC" w:rsidR="006C5598" w:rsidRDefault="00E935A2" w:rsidP="00B655ED">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7E5D26DE" w14:textId="2E2E3390" w:rsidR="00A23362" w:rsidRPr="00A23362" w:rsidRDefault="00A23362" w:rsidP="00A23362">
      <w:pPr>
        <w:keepNext/>
        <w:spacing w:before="120" w:after="0" w:line="240" w:lineRule="auto"/>
        <w:rPr>
          <w:rFonts w:cs="Times"/>
          <w:color w:val="003300"/>
          <w:szCs w:val="24"/>
        </w:rPr>
      </w:pPr>
      <w:r w:rsidRPr="00D04802">
        <w:rPr>
          <w:color w:val="003300"/>
        </w:rPr>
        <w:t>Rien à signaler</w:t>
      </w:r>
    </w:p>
    <w:p w14:paraId="1E12E0B0" w14:textId="6990031D" w:rsidR="00925661" w:rsidRDefault="00E935A2" w:rsidP="00B655ED">
      <w:pPr>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3FEECD1D" w14:textId="5119FE6E" w:rsidR="007D6790" w:rsidRDefault="003B6A85" w:rsidP="00B655ED">
      <w:pPr>
        <w:spacing w:before="120" w:after="0" w:line="240" w:lineRule="auto"/>
        <w:rPr>
          <w:color w:val="003300"/>
          <w:u w:val="single"/>
        </w:rPr>
      </w:pPr>
      <w:r>
        <w:rPr>
          <w:color w:val="003300"/>
          <w:u w:val="single"/>
        </w:rPr>
        <w:t>ANC</w:t>
      </w:r>
      <w:r>
        <w:rPr>
          <w:color w:val="003300"/>
        </w:rPr>
        <w:t>–Les comptes des OPCV.</w:t>
      </w:r>
    </w:p>
    <w:p w14:paraId="0A105900" w14:textId="390E7B08" w:rsidR="003B6A85" w:rsidRDefault="00C00E85" w:rsidP="003B6A85">
      <w:pPr>
        <w:spacing w:before="120" w:after="0" w:line="240" w:lineRule="auto"/>
        <w:ind w:left="567"/>
        <w:rPr>
          <w:color w:val="003300"/>
          <w:u w:val="single"/>
        </w:rPr>
      </w:pPr>
      <w:hyperlink r:id="rId16" w:history="1">
        <w:r w:rsidR="003B6A85" w:rsidRPr="003B6A85">
          <w:rPr>
            <w:rStyle w:val="Lienhypertexte"/>
          </w:rPr>
          <w:t>Règlement ANC n° 2022-03 du 3 juin 2022 modifiant le règlement ANC N° 2020-07 du 4 décembre 2020 relatif aux comptes annuels des organismes de placement collectif à capital variable (+ règlement ANC n° 2020-07 modifié (version recueil))</w:t>
        </w:r>
      </w:hyperlink>
    </w:p>
    <w:p w14:paraId="4BFFF538" w14:textId="77777777" w:rsidR="00C16027" w:rsidRDefault="00C16027" w:rsidP="00B655ED">
      <w:pPr>
        <w:spacing w:before="120" w:after="0" w:line="240" w:lineRule="auto"/>
        <w:rPr>
          <w:rFonts w:cs="Times"/>
          <w:b/>
          <w:szCs w:val="24"/>
        </w:rPr>
      </w:pPr>
    </w:p>
    <w:p w14:paraId="077EA3B3" w14:textId="17A2143B" w:rsidR="00E935A2" w:rsidRPr="006320BB" w:rsidRDefault="00E935A2" w:rsidP="00B655ED">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B655ED">
      <w:pPr>
        <w:spacing w:before="120" w:after="0" w:line="240" w:lineRule="auto"/>
        <w:rPr>
          <w:rFonts w:cs="Times"/>
          <w:b/>
          <w:szCs w:val="24"/>
        </w:rPr>
      </w:pPr>
      <w:r w:rsidRPr="006320BB">
        <w:rPr>
          <w:rFonts w:cs="Times"/>
          <w:b/>
          <w:szCs w:val="24"/>
        </w:rPr>
        <w:t>3.1</w:t>
      </w:r>
      <w:r w:rsidRPr="006320BB">
        <w:rPr>
          <w:rFonts w:cs="Times"/>
          <w:b/>
          <w:szCs w:val="24"/>
        </w:rPr>
        <w:tab/>
        <w:t>Textes</w:t>
      </w:r>
    </w:p>
    <w:p w14:paraId="23A904C4" w14:textId="4EC9ED45" w:rsidR="00252FB6" w:rsidRPr="00987CAB" w:rsidRDefault="00252FB6" w:rsidP="00252FB6">
      <w:pPr>
        <w:spacing w:before="120" w:after="0" w:line="240" w:lineRule="auto"/>
        <w:rPr>
          <w:color w:val="003300"/>
        </w:rPr>
      </w:pPr>
      <w:r w:rsidRPr="00252FB6">
        <w:rPr>
          <w:color w:val="003300"/>
          <w:u w:val="single"/>
        </w:rPr>
        <w:t>Aides de l’</w:t>
      </w:r>
      <w:r>
        <w:rPr>
          <w:color w:val="003300"/>
          <w:u w:val="single"/>
        </w:rPr>
        <w:t>A</w:t>
      </w:r>
      <w:r w:rsidRPr="00252FB6">
        <w:rPr>
          <w:color w:val="003300"/>
          <w:u w:val="single"/>
        </w:rPr>
        <w:t>NAH</w:t>
      </w:r>
      <w:r>
        <w:rPr>
          <w:color w:val="003300"/>
        </w:rPr>
        <w:t xml:space="preserve"> – Réduction des durées d’engagement de location.</w:t>
      </w:r>
    </w:p>
    <w:p w14:paraId="7FBC7A51" w14:textId="55D539E7" w:rsidR="00252FB6" w:rsidRPr="00252FB6" w:rsidRDefault="00C00E85" w:rsidP="00252FB6">
      <w:pPr>
        <w:spacing w:before="120" w:after="0" w:line="240" w:lineRule="auto"/>
        <w:ind w:left="567"/>
        <w:rPr>
          <w:color w:val="003300"/>
        </w:rPr>
      </w:pPr>
      <w:hyperlink r:id="rId17" w:history="1">
        <w:r w:rsidR="00252FB6" w:rsidRPr="00252FB6">
          <w:rPr>
            <w:rStyle w:val="Lienhypertexte"/>
          </w:rPr>
          <w:t>Arrêté LOGL2204845A</w:t>
        </w:r>
      </w:hyperlink>
      <w:r w:rsidR="00252FB6" w:rsidRPr="00252FB6">
        <w:t xml:space="preserve"> </w:t>
      </w:r>
      <w:r w:rsidR="00252FB6" w:rsidRPr="00252FB6">
        <w:rPr>
          <w:color w:val="003300"/>
        </w:rPr>
        <w:t>du 16-3-2022 : JO 20 texte n° 42</w:t>
      </w:r>
    </w:p>
    <w:p w14:paraId="25DBAAFE" w14:textId="6B9AC848" w:rsidR="00252FB6" w:rsidRPr="0067663C" w:rsidRDefault="00C00E85" w:rsidP="0067663C">
      <w:pPr>
        <w:spacing w:before="120" w:after="0" w:line="240" w:lineRule="auto"/>
        <w:ind w:left="567"/>
        <w:rPr>
          <w:color w:val="003300"/>
        </w:rPr>
      </w:pPr>
      <w:hyperlink r:id="rId18" w:history="1">
        <w:r w:rsidR="00252FB6" w:rsidRPr="00252FB6">
          <w:rPr>
            <w:rStyle w:val="Lienhypertexte"/>
          </w:rPr>
          <w:t>Arrêté LOGL2211228A</w:t>
        </w:r>
      </w:hyperlink>
      <w:r w:rsidR="00252FB6" w:rsidRPr="00252FB6">
        <w:rPr>
          <w:color w:val="003300"/>
        </w:rPr>
        <w:t xml:space="preserve"> du 24-4-2022 : JO 11-5 texte n° 27</w:t>
      </w:r>
    </w:p>
    <w:p w14:paraId="17D13BC7" w14:textId="356F55BD" w:rsidR="00E935A2" w:rsidRDefault="00AB002C" w:rsidP="00C367B1">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732D7C8C" w14:textId="4A035CF0" w:rsidR="00C16027" w:rsidRPr="0067663C" w:rsidRDefault="0067663C" w:rsidP="0067663C">
      <w:pPr>
        <w:spacing w:before="120" w:after="0" w:line="240" w:lineRule="auto"/>
        <w:rPr>
          <w:color w:val="003300"/>
        </w:rPr>
      </w:pPr>
      <w:r w:rsidRPr="00987CAB">
        <w:rPr>
          <w:color w:val="003300"/>
        </w:rPr>
        <w:t>Rien à signaler</w:t>
      </w:r>
    </w:p>
    <w:p w14:paraId="7D92344F" w14:textId="23AE5CDE" w:rsidR="00331173" w:rsidRDefault="00331173" w:rsidP="00B655ED">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4EF90212" w14:textId="0A8FD6F5" w:rsidR="008E1544" w:rsidRPr="00987CAB" w:rsidRDefault="00987CAB" w:rsidP="00B655ED">
      <w:pPr>
        <w:spacing w:before="120" w:after="0" w:line="240" w:lineRule="auto"/>
        <w:rPr>
          <w:color w:val="003300"/>
        </w:rPr>
      </w:pPr>
      <w:r w:rsidRPr="00987CAB">
        <w:rPr>
          <w:color w:val="003300"/>
        </w:rPr>
        <w:t>Rien à signaler</w:t>
      </w:r>
    </w:p>
    <w:p w14:paraId="139FD342" w14:textId="6C5F1260" w:rsidR="008E1544" w:rsidRPr="00987CAB" w:rsidRDefault="001F3614" w:rsidP="00987CAB">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E1B19DF" w14:textId="217DA63C" w:rsidR="00142627" w:rsidRDefault="00987CAB">
      <w:pPr>
        <w:spacing w:before="0" w:after="0" w:line="240" w:lineRule="auto"/>
        <w:jc w:val="left"/>
      </w:pPr>
      <w:r w:rsidRPr="00987CAB">
        <w:rPr>
          <w:color w:val="003300"/>
        </w:rPr>
        <w:t>Rien à signaler</w:t>
      </w:r>
      <w:r>
        <w:t xml:space="preserve"> </w:t>
      </w:r>
      <w:r w:rsidR="00142627">
        <w:br w:type="page"/>
      </w:r>
    </w:p>
    <w:p w14:paraId="2649CADA" w14:textId="757854C7"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5D29BC50" w14:textId="3AE2393F"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19" w:tooltip="23/06/2022 : IF - Conséquences du transfert de la part départementale de la taxe foncière sur les propriétés bâties aux communes sur les divers  dispositifs d'exonération et d'abattement  de taxe foncière sur les propriétés bâties (loi n° 2019-1479 du 28 décem" w:history="1">
        <w:bookmarkStart w:id="1" w:name="_Hlk107218972"/>
        <w:r w:rsidR="00C16027" w:rsidRPr="00C37F9C">
          <w:rPr>
            <w:rStyle w:val="Lienhypertexte"/>
            <w:rFonts w:ascii="Open Sans" w:hAnsi="Open Sans" w:cs="Open Sans"/>
            <w:sz w:val="21"/>
            <w:szCs w:val="21"/>
            <w:highlight w:val="green"/>
          </w:rPr>
          <w:t>23/06/2022 : IF - Conséquences du transfert de la part départementale de la taxe foncière sur les propriétés bâties aux communes sur les divers dispositifs d'exonération et d'abattement de taxe foncière sur les propriétés bâties (loi n° 2019-1479 du 28 décembre 2019 de finances pour 2020, art. 16)</w:t>
        </w:r>
        <w:bookmarkEnd w:id="1"/>
      </w:hyperlink>
    </w:p>
    <w:p w14:paraId="252A443F"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0" w:tooltip="22/06/2022 : BA - BIC - BNC - IS -  Report d'imposition des plus-values d'apport et d'échange de titres constatées à l'occasion d'opérations de restructurations de sociétés civiles agricoles (loi n° 2021-1900 du 30 décembre 2021 de finances pour 2022, art. 10)" w:history="1">
        <w:r w:rsidR="00C16027">
          <w:rPr>
            <w:rStyle w:val="Lienhypertexte"/>
            <w:rFonts w:ascii="Open Sans" w:hAnsi="Open Sans" w:cs="Open Sans"/>
            <w:sz w:val="21"/>
            <w:szCs w:val="21"/>
          </w:rPr>
          <w:t>22/06/2022 : BA - BIC - BNC - IS - Report d'imposition des plus-values d'apport et d'échange de titres constatées à l'occasion d'opérations de restructurations de sociétés civiles agricoles (loi n° 2021-1900 du 30 décembre 2021 de finances pour 2022, art. 10)</w:t>
        </w:r>
      </w:hyperlink>
    </w:p>
    <w:p w14:paraId="6188F00A"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1" w:tooltip="22/06/2022 : TVA - Régimes sectoriels - Opérations bancaires et financières - Champ d'application - Opérations imposables sur option - Modalités d'exercice de l'option (loi n° 2021-1900 du 30 décembre 2021 de finances pour 2022, art. 30)" w:history="1">
        <w:r w:rsidR="00C16027">
          <w:rPr>
            <w:rStyle w:val="Lienhypertexte"/>
            <w:rFonts w:ascii="Open Sans" w:hAnsi="Open Sans" w:cs="Open Sans"/>
            <w:sz w:val="21"/>
            <w:szCs w:val="21"/>
          </w:rPr>
          <w:t>22/06/2022 : TVA - Régimes sectoriels - Opérations bancaires et financières - Champ d'application - Opérations imposables sur option - Modalités d'exercice de l'option (loi n° 2021-1900 du 30 décembre 2021 de finances pour 2022, art. 30)</w:t>
        </w:r>
      </w:hyperlink>
    </w:p>
    <w:p w14:paraId="5D6D9097"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2" w:tooltip="22/06/2022 : TFP - Taxe sur les éoliennes maritimes - Extension de la taxe aux éoliennes maritimes en zone économique exclusive (loi n° 2021-1900 du 30 décembre 2021 de finances pour 2022, art. 101)" w:history="1">
        <w:r w:rsidR="00C16027">
          <w:rPr>
            <w:rStyle w:val="Lienhypertexte"/>
            <w:rFonts w:ascii="Open Sans" w:hAnsi="Open Sans" w:cs="Open Sans"/>
            <w:sz w:val="21"/>
            <w:szCs w:val="21"/>
          </w:rPr>
          <w:t>22/06/2022 : TFP - Taxe sur les éoliennes maritimes - Extension de la taxe aux éoliennes maritimes en zone économique exclusive (loi n° 2021-1900 du 30 décembre 2021 de finances pour 2022, art. 101)</w:t>
        </w:r>
      </w:hyperlink>
    </w:p>
    <w:p w14:paraId="4F50CC58"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3" w:tooltip="16/06/2022 : RSA - Relèvement des limites d'exonération d'avantages résultant de la prise en charge de frais engagés pour les déplacements entre la résidence habituelle et le lieu de travail (loi n° 2021-1104 du 22 août 2021 portant lutte contre le dérèglement" w:history="1">
        <w:r w:rsidR="00C16027" w:rsidRPr="009F51A4">
          <w:rPr>
            <w:rStyle w:val="Lienhypertexte"/>
            <w:rFonts w:ascii="Open Sans" w:hAnsi="Open Sans" w:cs="Open Sans"/>
            <w:sz w:val="21"/>
            <w:szCs w:val="21"/>
            <w:highlight w:val="green"/>
          </w:rPr>
          <w:t>16/06/2022 : RSA - Relèvement des limites d'exonération d'avantages résultant de la prise en charge de frais engagés pour les déplacements entre la résidence habituelle et le lieu de travail (loi n° 2021-1104 du 22 août 2021 portant lutte contre le dérèglement climatique et renforcement de la résilience face à ses effets, art. 128 ; loi n° 2021-1900 du 30 décembre 2021 de finances pour 2022, art. 4)</w:t>
        </w:r>
      </w:hyperlink>
    </w:p>
    <w:p w14:paraId="69BC1D7D"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4" w:tooltip="15/06/2022 : IR - IS - Extension de la réduction d'impôt prévue à l'article 199 undecies C du CGI aux travaux de démolition préalables à la construction de logements (loi n° 2021-1900 du 30 décembre 2021 de finances pour 2022, art. 73) ; aménagement du quota d" w:history="1">
        <w:r w:rsidR="00C16027" w:rsidRPr="009F51A4">
          <w:rPr>
            <w:rStyle w:val="Lienhypertexte"/>
            <w:rFonts w:ascii="Open Sans" w:hAnsi="Open Sans" w:cs="Open Sans"/>
            <w:sz w:val="21"/>
            <w:szCs w:val="21"/>
            <w:highlight w:val="green"/>
          </w:rPr>
          <w:t>15/06/2022 : IR - IS - Extension de la réduction d'impôt prévue à l'article 199 undecies C du CGI aux travaux de démolition préalables à la construction de logements (loi n° 2021-1900 du 30 décembre 2021 de finances pour 2022, art. 73) ; aménagement du quota de logements financés à l’aide de prêts locatifs sociaux dans le cadre du crédit d'impôt prévu à l'article 244 quater X du CGI (loi n° 2021-1900 du 30 décembre 2021 de finances pour 2022, art. 88) ; actualisation des plafonds de ressources et de loyers applicables au titre de l’année 2022 dans le cadre des dispositifs d'aide fiscale à l'investissement outre-mer dans le secteur du logement social (CGI, art. 199 undecies C ; CGI, art. 244 quater X et CGI, art. 244 quater Y)</w:t>
        </w:r>
      </w:hyperlink>
    </w:p>
    <w:p w14:paraId="70C43639"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5" w:tooltip="14/06/2022 : RPPM - Abrogation de l'exonération prévue à l'article 131 quater du code général des impôts pour les produits de certains emprunts contractés hors de France (loi n° 2021-1900 du 30 décembre 2021 de finances pour 2022, art. 35, I-11°) " w:history="1">
        <w:r w:rsidR="00C16027">
          <w:rPr>
            <w:rStyle w:val="Lienhypertexte"/>
            <w:rFonts w:ascii="Open Sans" w:hAnsi="Open Sans" w:cs="Open Sans"/>
            <w:sz w:val="21"/>
            <w:szCs w:val="21"/>
          </w:rPr>
          <w:t>14/06/2022 : RPPM - Abrogation de l'exonération prévue à l'article 131 quater du code général des impôts pour les produits de certains emprunts contractés hors de France (loi n° 2021-1900 du 30 décembre 2021 de finances pour 2022, art. 35, I-11°)</w:t>
        </w:r>
      </w:hyperlink>
    </w:p>
    <w:p w14:paraId="3261258A"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6" w:tooltip="14/06/2022 : ENR - Mutations à titre gratuit - Successions - Pérennisation de l'exonération de droits de mutation à titre gratuit des dons et legs consentis au profit des collectivités territoriales et de certains organismes publics, prévue à l'article 794 du " w:history="1">
        <w:r w:rsidR="00C16027">
          <w:rPr>
            <w:rStyle w:val="Lienhypertexte"/>
            <w:rFonts w:ascii="Open Sans" w:hAnsi="Open Sans" w:cs="Open Sans"/>
            <w:sz w:val="21"/>
            <w:szCs w:val="21"/>
          </w:rPr>
          <w:t>14/06/2022 : ENR - Mutations à titre gratuit - Successions - Pérennisation de l'exonération de droits de mutation à titre gratuit des dons et legs consentis au profit des collectivités territoriales et de certains organismes publics, prévue à l'article 794 du CGI (loi n° 2021-1900 du 30 décembre 2021 de finances pour 2022, art. 89)</w:t>
        </w:r>
      </w:hyperlink>
    </w:p>
    <w:p w14:paraId="53E9EA49"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7" w:tooltip="09/06/2022 : RSA - Exonération de la somme forfaitaire valant réparation instituée au profit des harkis, moghaznis, personnels des diverses formations supplétives et assimilés de statut civil de droit local ayant servi la France en Algérie, de leurs conjoints " w:history="1">
        <w:r w:rsidR="00C16027">
          <w:rPr>
            <w:rStyle w:val="Lienhypertexte"/>
            <w:rFonts w:ascii="Open Sans" w:hAnsi="Open Sans" w:cs="Open Sans"/>
            <w:sz w:val="21"/>
            <w:szCs w:val="21"/>
          </w:rPr>
          <w:t>09/06/2022 : RSA - Exonération de la somme forfaitaire valant réparation instituée au profit des harkis, moghaznis, personnels des diverses formations supplétives et assimilés de statut civil de droit local ayant servi la France en Algérie, de leurs conjoints et de leurs enfants (loi n° 2022-229 du 23 février 2022, art. 6)</w:t>
        </w:r>
      </w:hyperlink>
    </w:p>
    <w:p w14:paraId="4FCDD37A"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8" w:tooltip="08/06/2022 : IR - Prélèvement à la source de l'impôt sur le revenu - Recouvrement, contrôle, sanctions et contentieux" w:history="1">
        <w:r w:rsidR="00C16027">
          <w:rPr>
            <w:rStyle w:val="Lienhypertexte"/>
            <w:rFonts w:ascii="Open Sans" w:hAnsi="Open Sans" w:cs="Open Sans"/>
            <w:sz w:val="21"/>
            <w:szCs w:val="21"/>
          </w:rPr>
          <w:t>08/06/2022 : IR - Prélèvement à la source de l'impôt sur le revenu - Recouvrement, contrôle, sanctions et contentieux</w:t>
        </w:r>
      </w:hyperlink>
    </w:p>
    <w:p w14:paraId="2636CACF"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29" w:tooltip="08/06/2022 : BIC - IS - BA - BNC - Dispositif temporaire de déductibilité de l'amortissement constaté au titre des fonds commerciaux (loi n° 2021-1900 du 30 décembre 2021 de finances pour 2022, art. 23 ; décret n° 2022-208 du 18 février 2022 relatif au traitem" w:history="1">
        <w:r w:rsidR="00C16027">
          <w:rPr>
            <w:rStyle w:val="Lienhypertexte"/>
            <w:rFonts w:ascii="Open Sans" w:hAnsi="Open Sans" w:cs="Open Sans"/>
            <w:sz w:val="21"/>
            <w:szCs w:val="21"/>
          </w:rPr>
          <w:t xml:space="preserve">08/06/2022 : BIC - IS - BA - BNC - Dispositif temporaire de déductibilité de l'amortissement constaté au titre des fonds commerciaux (loi n° 2021-1900 du 30 décembre 2021 de finances pour 2022, art. 23 ; décret n° 2022-208 du 18 février 2022 relatif au traitement des </w:t>
        </w:r>
        <w:r w:rsidR="00C16027">
          <w:rPr>
            <w:rStyle w:val="Lienhypertexte"/>
            <w:rFonts w:ascii="Open Sans" w:hAnsi="Open Sans" w:cs="Open Sans"/>
            <w:sz w:val="21"/>
            <w:szCs w:val="21"/>
          </w:rPr>
          <w:lastRenderedPageBreak/>
          <w:t>dépréciations affectant certaines immobilisations pour la détermination de l'assiette de l'impôt, art. 1er)</w:t>
        </w:r>
      </w:hyperlink>
    </w:p>
    <w:p w14:paraId="1F0F38B9"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0" w:tooltip="08/06/2022 : BIC - Nouvelle obligation déclarative des organismes sans but lucratif et obligation pour les entreprises de présenter un reçu fiscal (loi n° 2021-1109 du 24 août 2021 confortant le respect des principes de la République, art. 19)" w:history="1">
        <w:r w:rsidR="00C16027" w:rsidRPr="00A3278E">
          <w:rPr>
            <w:rStyle w:val="Lienhypertexte"/>
            <w:rFonts w:ascii="Open Sans" w:hAnsi="Open Sans" w:cs="Open Sans"/>
            <w:sz w:val="21"/>
            <w:szCs w:val="21"/>
            <w:highlight w:val="green"/>
          </w:rPr>
          <w:t>08/06/2022 : BIC - Nouvelle obligation déclarative des organismes sans but lucratif et obligation pour les entreprises de présenter un reçu fiscal (loi n° 2021-1109 du 24 août 2021 confortant le respect des principes de la République, art. 19)</w:t>
        </w:r>
      </w:hyperlink>
    </w:p>
    <w:p w14:paraId="25FFDCA9"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1" w:tooltip="08/06/2022 : IS - Prise en compte des dépenses de ventousage dans l’assiette du crédit d’impôt en faveur du cinéma et de l’audiovisuel - Rescrit" w:history="1">
        <w:r w:rsidR="00C16027">
          <w:rPr>
            <w:rStyle w:val="Lienhypertexte"/>
            <w:rFonts w:ascii="Open Sans" w:hAnsi="Open Sans" w:cs="Open Sans"/>
            <w:sz w:val="21"/>
            <w:szCs w:val="21"/>
          </w:rPr>
          <w:t>08/06/2022 : IS - Prise en compte des dépenses de ventousage dans l’assiette du crédit d’impôt en faveur du cinéma et de l’audiovisuel - Rescrit</w:t>
        </w:r>
      </w:hyperlink>
    </w:p>
    <w:p w14:paraId="63C115DC"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2" w:tooltip="08/06/2022 : IS - Crédit d’impôt pour dépenses de production déléguée d’oeuvres audiovisuelles - Plafonnement de certaines dépenses éligibles, extension temporaire aux dépenses d’adaptation audiovisuelle de spectacle et majoration du taux pour les œuvres audio" w:history="1">
        <w:r w:rsidR="00C16027">
          <w:rPr>
            <w:rStyle w:val="Lienhypertexte"/>
            <w:rFonts w:ascii="Open Sans" w:hAnsi="Open Sans" w:cs="Open Sans"/>
            <w:sz w:val="21"/>
            <w:szCs w:val="21"/>
          </w:rPr>
          <w:t>08/06/2022 : IS - Crédit d’impôt pour dépenses de production déléguée d’oeuvres audiovisuelles - Plafonnement de certaines dépenses éligibles, extension temporaire aux dépenses d’adaptation audiovisuelle de spectacle et majoration du taux pour les œuvres audiovisuelles documentaires (loi n° 2019-1479 du 28 décembre 2019 de finances pour 2020, art. 138 et loi n° 2020-1721 du 29 décembre 2020 de finances pour 2021, art. 118 et 145)</w:t>
        </w:r>
      </w:hyperlink>
    </w:p>
    <w:p w14:paraId="01708A4B"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3" w:tooltip="08/06/2022 : IS - Crédit d’impôt pour dépenses de production cinématographique - Plafonnement de certaines dépenses éligibles (loi n° 2019-1479 du 28 décembre 2019 de finances pour 2020, art. 138)" w:history="1">
        <w:r w:rsidR="00C16027">
          <w:rPr>
            <w:rStyle w:val="Lienhypertexte"/>
            <w:rFonts w:ascii="Open Sans" w:hAnsi="Open Sans" w:cs="Open Sans"/>
            <w:sz w:val="21"/>
            <w:szCs w:val="21"/>
          </w:rPr>
          <w:t>08/06/2022 : IS - Crédit d’impôt pour dépenses de production cinématographique - Plafonnement de certaines dépenses éligibles (loi n° 2019-1479 du 28 décembre 2019 de finances pour 2020, art. 138)</w:t>
        </w:r>
      </w:hyperlink>
    </w:p>
    <w:p w14:paraId="55760BE7"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4" w:tooltip="08/06/2022 : IS - Abrogation du régime fiscal de longue durée en faveur des sociétés ayant pour objet la recherche et l'exploitation minière dans les départements de la Guadeloupe, de la Guyane, de la Martinique et de La Réunion (loi n° 2021-1900 du 30 décembr" w:history="1">
        <w:r w:rsidR="00C16027">
          <w:rPr>
            <w:rStyle w:val="Lienhypertexte"/>
            <w:rFonts w:ascii="Open Sans" w:hAnsi="Open Sans" w:cs="Open Sans"/>
            <w:sz w:val="21"/>
            <w:szCs w:val="21"/>
          </w:rPr>
          <w:t>08/06/2022 : IS - Abrogation du régime fiscal de longue durée en faveur des sociétés ayant pour objet la recherche et l'exploitation minière dans les départements de la Guadeloupe, de la Guyane, de la Martinique et de La Réunion (loi n° 2021-1900 du 30 décembre 2021 de finances pour 2022, art. 35, I-34°)</w:t>
        </w:r>
      </w:hyperlink>
    </w:p>
    <w:p w14:paraId="2CB380A6"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5" w:tooltip="08/06/2022 : IF - TFB - Champ d'application et territorialité - Diverses adaptations des exonérations de TFPB de longue durée en faveur du logement social et du logement locatif intermédiaire (loi n° 2016-1917 du 29 décembre 2016 de finances pour 2017, art. 94" w:history="1">
        <w:r w:rsidR="00C16027" w:rsidRPr="00A3278E">
          <w:rPr>
            <w:rStyle w:val="Lienhypertexte"/>
            <w:rFonts w:ascii="Open Sans" w:hAnsi="Open Sans" w:cs="Open Sans"/>
            <w:sz w:val="21"/>
            <w:szCs w:val="21"/>
            <w:highlight w:val="green"/>
          </w:rPr>
          <w:t>08/06/2022 : IF - TFB - Champ d'application et territorialité - Diverses adaptations des exonérations de TFPB de longue durée en faveur du logement social et du logement locatif intermédiaire (loi n° 2016-1917 du 29 décembre 2016 de finances pour 2017, art. 94 et 95 ; loi n° 2017-1775 du 28 décembre 2017 de finances rectificative pour 2017, art. 31 ; loi n° 2017-1837 du 30 décembre 2017 de finances pour 2018, art. 101 ; ordonnance n° 2019-770 du 17 juillet 2019 relative à la partie législative du livre VIII du code de la construction et de l'habitation ; loi n° 2019-1479 du 28 décembre 2019 de finances pour 2020, art. 16 et 30 ; loi n° 2021-1900 du 30 décembre 2021 de finances pour 2022, art. 68 et 81)</w:t>
        </w:r>
      </w:hyperlink>
    </w:p>
    <w:p w14:paraId="7D5B3C8A" w14:textId="7777777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6" w:tooltip="08/06/2022 :  IF - Taxe foncière sur les propriétés bâties - Adaptation de l'exonération permanente de taxe foncière sur les propriétés bâties (TFPB) consécutivement au transfert aux communes de la part départementale de TFPB - Exercice d'une activité de produ" w:history="1">
        <w:r w:rsidR="00C16027">
          <w:rPr>
            <w:rStyle w:val="Lienhypertexte"/>
            <w:rFonts w:ascii="Open Sans" w:hAnsi="Open Sans" w:cs="Open Sans"/>
            <w:sz w:val="21"/>
            <w:szCs w:val="21"/>
          </w:rPr>
          <w:t>08/06/2022 : IF - Taxe foncière sur les propriétés bâties - Adaptation de l'exonération permanente de taxe foncière sur les propriétés bâties (TFPB) consécutivement au transfert aux communes de la part départementale de TFPB - Exercice d'une activité de production d'électricité d'origine photovoltaïque ayant pour support certains immeubles exonérés de la TFPB en application de l'article 1382 du CGI - Exonération en faveur des groupements de coopération sanitaire (loi n° 2018-1317 du 28 décembre 2018 de finances pour 2019, art. 129, 169 et 171 et loi n° 2019-1479 du 28 décembre 2019 de finances pour 2020, art. 16)</w:t>
        </w:r>
      </w:hyperlink>
    </w:p>
    <w:p w14:paraId="302E6AFA" w14:textId="428217B7" w:rsidR="00C16027" w:rsidRDefault="00C00E85" w:rsidP="00C16027">
      <w:pPr>
        <w:pStyle w:val="NormalWeb"/>
        <w:shd w:val="clear" w:color="auto" w:fill="FFFFFF"/>
        <w:spacing w:before="0" w:after="120"/>
        <w:jc w:val="both"/>
        <w:rPr>
          <w:rFonts w:ascii="Open Sans" w:hAnsi="Open Sans" w:cs="Open Sans"/>
          <w:color w:val="333333"/>
          <w:sz w:val="21"/>
          <w:szCs w:val="21"/>
        </w:rPr>
      </w:pPr>
      <w:hyperlink r:id="rId37" w:tooltip="08/06/2022 : IF - Taxe foncière sur les propriétés bâties - Exonération des bâtiments affectés à un usage agricole - Maintien de l'exonération en cas d'exercice d'une activité accessoire (loi n° 2018-1317 du 28 décembre 2018 de finances pour 2019, art. 129) et" w:history="1">
        <w:r w:rsidR="00C16027">
          <w:rPr>
            <w:rStyle w:val="Lienhypertexte"/>
            <w:rFonts w:ascii="Open Sans" w:hAnsi="Open Sans" w:cs="Open Sans"/>
            <w:sz w:val="21"/>
            <w:szCs w:val="21"/>
          </w:rPr>
          <w:t>08/06/2022 : IF - Taxe foncière sur les propriétés bâties - Exonération des bâtiments affectés à un usage agricole - Maintien de l'exonération en cas d'exercice d'une activité accessoire (loi n° 2018-1317 du 28 décembre 2018 de finances pour 2019, art. 129) et en cas de location par une société coopérative agricole d'une propriété à un tiers qui transforme les produits de ses adhérents (loi n° 2021-1900 du 30 décembre 2021 de finances pour 2022, art.115)</w:t>
        </w:r>
      </w:hyperlink>
    </w:p>
    <w:p w14:paraId="66742EC2" w14:textId="13BB0619" w:rsidR="00D5473F" w:rsidRDefault="00C00E85" w:rsidP="00D5473F">
      <w:pPr>
        <w:pStyle w:val="NormalWeb"/>
        <w:shd w:val="clear" w:color="auto" w:fill="FFFFFF"/>
        <w:spacing w:before="0" w:after="150"/>
        <w:jc w:val="both"/>
        <w:rPr>
          <w:rFonts w:ascii="Open Sans" w:hAnsi="Open Sans" w:cs="Open Sans"/>
          <w:color w:val="333333"/>
          <w:sz w:val="21"/>
          <w:szCs w:val="21"/>
        </w:rPr>
      </w:pPr>
      <w:hyperlink r:id="rId38" w:tooltip="01/06/2022 : REC - Responsabilité des associés de sociétés en nom collectif - Précisions en matière de prescription à l'égard des associés" w:history="1">
        <w:r w:rsidR="00D5473F">
          <w:rPr>
            <w:rStyle w:val="Lienhypertexte"/>
            <w:rFonts w:ascii="Open Sans" w:hAnsi="Open Sans" w:cs="Open Sans"/>
            <w:sz w:val="21"/>
            <w:szCs w:val="21"/>
          </w:rPr>
          <w:t>01/06/2022 : REC - Responsabilité des associés de sociétés en nom collectif - Précisions en matière de prescription à l'égard des associés</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9"/>
      <w:headerReference w:type="first" r:id="rId40"/>
      <w:footerReference w:type="first" r:id="rId41"/>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8093" w14:textId="77777777" w:rsidR="00C00E85" w:rsidRDefault="00C00E85">
      <w:r>
        <w:separator/>
      </w:r>
    </w:p>
  </w:endnote>
  <w:endnote w:type="continuationSeparator" w:id="0">
    <w:p w14:paraId="5F29AE25" w14:textId="77777777" w:rsidR="00C00E85" w:rsidRDefault="00C00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2AE715C5-5D87-4A57-8A3D-3DD0ACEE649E}"/>
    <w:embedBold r:id="rId2" w:fontKey="{D3A2C1AE-2DA7-4376-943F-FF0116A6CE91}"/>
    <w:embedBoldItalic r:id="rId3" w:fontKey="{9DFABD05-31B5-464D-BC2D-8C89E1DFC0BC}"/>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86252E75-4BC5-4305-87FF-BEC6CA817B9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5AC5BDF6-B61D-494F-A77A-865E02759D09}"/>
  </w:font>
  <w:font w:name="Open Sans">
    <w:panose1 w:val="020B0606030504020204"/>
    <w:charset w:val="00"/>
    <w:family w:val="swiss"/>
    <w:pitch w:val="variable"/>
    <w:sig w:usb0="E00002EF" w:usb1="4000205B" w:usb2="00000028" w:usb3="00000000" w:csb0="0000019F" w:csb1="00000000"/>
    <w:embedRegular r:id="rId6" w:fontKey="{68FCE9BF-3417-41E0-B406-8B90BB81C8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C8490" w14:textId="77777777" w:rsidR="00C00E85" w:rsidRDefault="00C00E85">
      <w:r>
        <w:separator/>
      </w:r>
    </w:p>
  </w:footnote>
  <w:footnote w:type="continuationSeparator" w:id="0">
    <w:p w14:paraId="47A3555F" w14:textId="77777777" w:rsidR="00C00E85" w:rsidRDefault="00C00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1E4734F7"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sidR="00DA3938">
            <w:rPr>
              <w:noProof/>
              <w:sz w:val="20"/>
            </w:rPr>
            <w:t>Comptes-La revue-2022-0</w:t>
          </w:r>
          <w:r w:rsidR="00C16027">
            <w:rPr>
              <w:noProof/>
              <w:sz w:val="20"/>
            </w:rPr>
            <w:t>6</w:t>
          </w:r>
          <w:r>
            <w:rPr>
              <w:sz w:val="20"/>
            </w:rPr>
            <w:fldChar w:fldCharType="end"/>
          </w:r>
        </w:p>
        <w:p w14:paraId="6D4A75FB" w14:textId="2012E479"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C10D37">
            <w:rPr>
              <w:sz w:val="20"/>
            </w:rPr>
            <w:t>28</w:t>
          </w:r>
          <w:r w:rsidR="00312B49">
            <w:rPr>
              <w:sz w:val="20"/>
            </w:rPr>
            <w:t xml:space="preserve"> </w:t>
          </w:r>
          <w:r w:rsidR="00C16027">
            <w:rPr>
              <w:sz w:val="20"/>
            </w:rPr>
            <w:t>juin</w:t>
          </w:r>
          <w:r w:rsidR="00A527BA">
            <w:rPr>
              <w:sz w:val="20"/>
            </w:rPr>
            <w:t xml:space="preserve"> </w:t>
          </w:r>
          <w:r>
            <w:rPr>
              <w:sz w:val="20"/>
            </w:rPr>
            <w:t>202</w:t>
          </w:r>
          <w:r w:rsidR="00307714">
            <w:rPr>
              <w:sz w:val="20"/>
            </w:rPr>
            <w:t>2</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r w:rsidRPr="00F5762B">
            <w:rPr>
              <w:color w:val="143300"/>
              <w:spacing w:val="16"/>
              <w:w w:val="97"/>
              <w:sz w:val="20"/>
            </w:rPr>
            <w:t>s.a.r.l.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style="width:3in;height:3in" o:bullet="t"/>
    </w:pict>
  </w:numPicBullet>
  <w:numPicBullet w:numPicBulletId="1">
    <w:pict>
      <v:shape id="_x0000_i1387" type="#_x0000_t75" style="width:3in;height:3in" o:bullet="t"/>
    </w:pict>
  </w:numPicBullet>
  <w:numPicBullet w:numPicBulletId="2">
    <w:pict>
      <v:shape id="_x0000_i1388" type="#_x0000_t75" style="width:3in;height:3in" o:bullet="t"/>
    </w:pict>
  </w:numPicBullet>
  <w:numPicBullet w:numPicBulletId="3">
    <w:pict>
      <v:shape id="_x0000_i1389" type="#_x0000_t75" style="width:3in;height:3in" o:bullet="t"/>
    </w:pict>
  </w:numPicBullet>
  <w:numPicBullet w:numPicBulletId="4">
    <w:pict>
      <v:shape id="_x0000_i1390" type="#_x0000_t75" style="width:3in;height:3in" o:bullet="t"/>
    </w:pict>
  </w:numPicBullet>
  <w:numPicBullet w:numPicBulletId="5">
    <w:pict>
      <v:shape id="_x0000_i1391" type="#_x0000_t75" style="width:3in;height:3in" o:bullet="t"/>
    </w:pict>
  </w:numPicBullet>
  <w:numPicBullet w:numPicBulletId="6">
    <w:pict>
      <v:shape id="_x0000_i1392" type="#_x0000_t75" style="width:3in;height:3in" o:bullet="t"/>
    </w:pict>
  </w:numPicBullet>
  <w:numPicBullet w:numPicBulletId="7">
    <w:pict>
      <v:shape id="_x0000_i1393" type="#_x0000_t75" style="width:3in;height:3in" o:bullet="t"/>
    </w:pict>
  </w:numPicBullet>
  <w:numPicBullet w:numPicBulletId="8">
    <w:pict>
      <v:shape id="_x0000_i1394" type="#_x0000_t75" style="width:3in;height:3in" o:bullet="t"/>
    </w:pict>
  </w:numPicBullet>
  <w:numPicBullet w:numPicBulletId="9">
    <w:pict>
      <v:shape id="_x0000_i1395" type="#_x0000_t75" style="width:3in;height:3in" o:bullet="t"/>
    </w:pict>
  </w:numPicBullet>
  <w:numPicBullet w:numPicBulletId="10">
    <w:pict>
      <v:shape id="_x0000_i1396" type="#_x0000_t75" style="width:3in;height:3in" o:bullet="t"/>
    </w:pict>
  </w:numPicBullet>
  <w:numPicBullet w:numPicBulletId="11">
    <w:pict>
      <v:shape id="_x0000_i1397" type="#_x0000_t75" style="width:3in;height:3in" o:bullet="t"/>
    </w:pict>
  </w:numPicBullet>
  <w:numPicBullet w:numPicBulletId="12">
    <w:pict>
      <v:shape id="_x0000_i1398" type="#_x0000_t75" style="width:3in;height:3in" o:bullet="t"/>
    </w:pict>
  </w:numPicBullet>
  <w:numPicBullet w:numPicBulletId="13">
    <w:pict>
      <v:shape id="_x0000_i1399" type="#_x0000_t75" style="width:3in;height:3in" o:bullet="t"/>
    </w:pict>
  </w:numPicBullet>
  <w:numPicBullet w:numPicBulletId="14">
    <w:pict>
      <v:shape id="_x0000_i1400" type="#_x0000_t75" style="width:3in;height:3in" o:bullet="t"/>
    </w:pict>
  </w:numPicBullet>
  <w:numPicBullet w:numPicBulletId="15">
    <w:pict>
      <v:shape id="_x0000_i1401" type="#_x0000_t75" style="width:3in;height:3in" o:bullet="t"/>
    </w:pict>
  </w:numPicBullet>
  <w:numPicBullet w:numPicBulletId="16">
    <w:pict>
      <v:shape id="_x0000_i1402" type="#_x0000_t75" style="width:3in;height:3in" o:bullet="t"/>
    </w:pict>
  </w:numPicBullet>
  <w:numPicBullet w:numPicBulletId="17">
    <w:pict>
      <v:shape id="_x0000_i1403" type="#_x0000_t75" style="width:3in;height:3in" o:bullet="t"/>
    </w:pict>
  </w:numPicBullet>
  <w:numPicBullet w:numPicBulletId="18">
    <w:pict>
      <v:shape id="_x0000_i1404" type="#_x0000_t75" style="width:3in;height:3in" o:bullet="t"/>
    </w:pict>
  </w:numPicBullet>
  <w:numPicBullet w:numPicBulletId="19">
    <w:pict>
      <v:shape id="_x0000_i1405" type="#_x0000_t75" style="width:3in;height:3in" o:bullet="t"/>
    </w:pict>
  </w:numPicBullet>
  <w:abstractNum w:abstractNumId="0" w15:restartNumberingAfterBreak="0">
    <w:nsid w:val="06C035E0"/>
    <w:multiLevelType w:val="multilevel"/>
    <w:tmpl w:val="33E6595E"/>
    <w:lvl w:ilvl="0">
      <w:start w:val="1"/>
      <w:numFmt w:val="bullet"/>
      <w:lvlText w:val=""/>
      <w:lvlJc w:val="left"/>
      <w:pPr>
        <w:tabs>
          <w:tab w:val="num" w:pos="513"/>
        </w:tabs>
        <w:ind w:left="513" w:hanging="360"/>
      </w:pPr>
      <w:rPr>
        <w:rFonts w:ascii="Symbol" w:hAnsi="Symbol" w:hint="default"/>
        <w:sz w:val="20"/>
      </w:rPr>
    </w:lvl>
    <w:lvl w:ilvl="1" w:tentative="1">
      <w:start w:val="1"/>
      <w:numFmt w:val="bullet"/>
      <w:lvlText w:val="o"/>
      <w:lvlJc w:val="left"/>
      <w:pPr>
        <w:tabs>
          <w:tab w:val="num" w:pos="1233"/>
        </w:tabs>
        <w:ind w:left="1233" w:hanging="360"/>
      </w:pPr>
      <w:rPr>
        <w:rFonts w:ascii="Courier New" w:hAnsi="Courier New" w:hint="default"/>
        <w:sz w:val="20"/>
      </w:rPr>
    </w:lvl>
    <w:lvl w:ilvl="2" w:tentative="1">
      <w:start w:val="1"/>
      <w:numFmt w:val="bullet"/>
      <w:lvlText w:val=""/>
      <w:lvlJc w:val="left"/>
      <w:pPr>
        <w:tabs>
          <w:tab w:val="num" w:pos="1953"/>
        </w:tabs>
        <w:ind w:left="1953" w:hanging="360"/>
      </w:pPr>
      <w:rPr>
        <w:rFonts w:ascii="Wingdings" w:hAnsi="Wingdings" w:hint="default"/>
        <w:sz w:val="20"/>
      </w:rPr>
    </w:lvl>
    <w:lvl w:ilvl="3" w:tentative="1">
      <w:start w:val="1"/>
      <w:numFmt w:val="bullet"/>
      <w:lvlText w:val=""/>
      <w:lvlJc w:val="left"/>
      <w:pPr>
        <w:tabs>
          <w:tab w:val="num" w:pos="2673"/>
        </w:tabs>
        <w:ind w:left="2673" w:hanging="360"/>
      </w:pPr>
      <w:rPr>
        <w:rFonts w:ascii="Wingdings" w:hAnsi="Wingdings" w:hint="default"/>
        <w:sz w:val="20"/>
      </w:rPr>
    </w:lvl>
    <w:lvl w:ilvl="4" w:tentative="1">
      <w:start w:val="1"/>
      <w:numFmt w:val="bullet"/>
      <w:lvlText w:val=""/>
      <w:lvlJc w:val="left"/>
      <w:pPr>
        <w:tabs>
          <w:tab w:val="num" w:pos="3393"/>
        </w:tabs>
        <w:ind w:left="3393" w:hanging="360"/>
      </w:pPr>
      <w:rPr>
        <w:rFonts w:ascii="Wingdings" w:hAnsi="Wingdings" w:hint="default"/>
        <w:sz w:val="20"/>
      </w:rPr>
    </w:lvl>
    <w:lvl w:ilvl="5" w:tentative="1">
      <w:start w:val="1"/>
      <w:numFmt w:val="bullet"/>
      <w:lvlText w:val=""/>
      <w:lvlJc w:val="left"/>
      <w:pPr>
        <w:tabs>
          <w:tab w:val="num" w:pos="4113"/>
        </w:tabs>
        <w:ind w:left="4113" w:hanging="360"/>
      </w:pPr>
      <w:rPr>
        <w:rFonts w:ascii="Wingdings" w:hAnsi="Wingdings" w:hint="default"/>
        <w:sz w:val="20"/>
      </w:rPr>
    </w:lvl>
    <w:lvl w:ilvl="6" w:tentative="1">
      <w:start w:val="1"/>
      <w:numFmt w:val="bullet"/>
      <w:lvlText w:val=""/>
      <w:lvlJc w:val="left"/>
      <w:pPr>
        <w:tabs>
          <w:tab w:val="num" w:pos="4833"/>
        </w:tabs>
        <w:ind w:left="4833" w:hanging="360"/>
      </w:pPr>
      <w:rPr>
        <w:rFonts w:ascii="Wingdings" w:hAnsi="Wingdings" w:hint="default"/>
        <w:sz w:val="20"/>
      </w:rPr>
    </w:lvl>
    <w:lvl w:ilvl="7" w:tentative="1">
      <w:start w:val="1"/>
      <w:numFmt w:val="bullet"/>
      <w:lvlText w:val=""/>
      <w:lvlJc w:val="left"/>
      <w:pPr>
        <w:tabs>
          <w:tab w:val="num" w:pos="5553"/>
        </w:tabs>
        <w:ind w:left="5553" w:hanging="360"/>
      </w:pPr>
      <w:rPr>
        <w:rFonts w:ascii="Wingdings" w:hAnsi="Wingdings" w:hint="default"/>
        <w:sz w:val="20"/>
      </w:rPr>
    </w:lvl>
    <w:lvl w:ilvl="8" w:tentative="1">
      <w:start w:val="1"/>
      <w:numFmt w:val="bullet"/>
      <w:lvlText w:val=""/>
      <w:lvlJc w:val="left"/>
      <w:pPr>
        <w:tabs>
          <w:tab w:val="num" w:pos="6273"/>
        </w:tabs>
        <w:ind w:left="6273" w:hanging="360"/>
      </w:pPr>
      <w:rPr>
        <w:rFonts w:ascii="Wingdings" w:hAnsi="Wingdings" w:hint="default"/>
        <w:sz w:val="20"/>
      </w:rPr>
    </w:lvl>
  </w:abstractNum>
  <w:abstractNum w:abstractNumId="1"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64F03BC"/>
    <w:multiLevelType w:val="multilevel"/>
    <w:tmpl w:val="CDFC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467B06"/>
    <w:multiLevelType w:val="multilevel"/>
    <w:tmpl w:val="BF50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C44DF"/>
    <w:multiLevelType w:val="multilevel"/>
    <w:tmpl w:val="B680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1B7443"/>
    <w:multiLevelType w:val="multilevel"/>
    <w:tmpl w:val="056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07002"/>
    <w:multiLevelType w:val="multilevel"/>
    <w:tmpl w:val="8FC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26610"/>
    <w:multiLevelType w:val="hybridMultilevel"/>
    <w:tmpl w:val="8FA2A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8" w15:restartNumberingAfterBreak="0">
    <w:nsid w:val="4D6552E0"/>
    <w:multiLevelType w:val="multilevel"/>
    <w:tmpl w:val="29180B3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51AC6"/>
    <w:multiLevelType w:val="multilevel"/>
    <w:tmpl w:val="A9E0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68180745">
    <w:abstractNumId w:val="8"/>
  </w:num>
  <w:num w:numId="2" w16cid:durableId="1885019750">
    <w:abstractNumId w:val="6"/>
  </w:num>
  <w:num w:numId="3" w16cid:durableId="2042855240">
    <w:abstractNumId w:val="1"/>
  </w:num>
  <w:num w:numId="4" w16cid:durableId="1421364228">
    <w:abstractNumId w:val="41"/>
  </w:num>
  <w:num w:numId="5" w16cid:durableId="167402574">
    <w:abstractNumId w:val="34"/>
  </w:num>
  <w:num w:numId="6" w16cid:durableId="2004311969">
    <w:abstractNumId w:val="29"/>
  </w:num>
  <w:num w:numId="7" w16cid:durableId="153761865">
    <w:abstractNumId w:val="11"/>
  </w:num>
  <w:num w:numId="8" w16cid:durableId="1358964384">
    <w:abstractNumId w:val="22"/>
  </w:num>
  <w:num w:numId="9" w16cid:durableId="628323693">
    <w:abstractNumId w:val="27"/>
  </w:num>
  <w:num w:numId="10" w16cid:durableId="291909674">
    <w:abstractNumId w:val="23"/>
  </w:num>
  <w:num w:numId="11" w16cid:durableId="74668201">
    <w:abstractNumId w:val="19"/>
  </w:num>
  <w:num w:numId="12" w16cid:durableId="981620185">
    <w:abstractNumId w:val="20"/>
  </w:num>
  <w:num w:numId="13" w16cid:durableId="913973989">
    <w:abstractNumId w:val="42"/>
  </w:num>
  <w:num w:numId="14" w16cid:durableId="674377507">
    <w:abstractNumId w:val="32"/>
  </w:num>
  <w:num w:numId="15" w16cid:durableId="1192500311">
    <w:abstractNumId w:val="35"/>
  </w:num>
  <w:num w:numId="16" w16cid:durableId="2000425802">
    <w:abstractNumId w:val="3"/>
  </w:num>
  <w:num w:numId="17" w16cid:durableId="141436506">
    <w:abstractNumId w:val="36"/>
  </w:num>
  <w:num w:numId="18" w16cid:durableId="375355512">
    <w:abstractNumId w:val="25"/>
  </w:num>
  <w:num w:numId="19" w16cid:durableId="864446093">
    <w:abstractNumId w:val="31"/>
  </w:num>
  <w:num w:numId="20" w16cid:durableId="1193959937">
    <w:abstractNumId w:val="33"/>
  </w:num>
  <w:num w:numId="21" w16cid:durableId="220335471">
    <w:abstractNumId w:val="37"/>
  </w:num>
  <w:num w:numId="22" w16cid:durableId="2037727476">
    <w:abstractNumId w:val="39"/>
  </w:num>
  <w:num w:numId="23" w16cid:durableId="1899120763">
    <w:abstractNumId w:val="5"/>
  </w:num>
  <w:num w:numId="24" w16cid:durableId="1034232715">
    <w:abstractNumId w:val="24"/>
  </w:num>
  <w:num w:numId="25" w16cid:durableId="2016178960">
    <w:abstractNumId w:val="12"/>
  </w:num>
  <w:num w:numId="26" w16cid:durableId="428737928">
    <w:abstractNumId w:val="16"/>
  </w:num>
  <w:num w:numId="27" w16cid:durableId="1337535355">
    <w:abstractNumId w:val="26"/>
  </w:num>
  <w:num w:numId="28" w16cid:durableId="982809645">
    <w:abstractNumId w:val="14"/>
  </w:num>
  <w:num w:numId="29" w16cid:durableId="666523111">
    <w:abstractNumId w:val="4"/>
  </w:num>
  <w:num w:numId="30" w16cid:durableId="455871344">
    <w:abstractNumId w:val="17"/>
  </w:num>
  <w:num w:numId="31" w16cid:durableId="290795133">
    <w:abstractNumId w:val="43"/>
  </w:num>
  <w:num w:numId="32" w16cid:durableId="1300762458">
    <w:abstractNumId w:val="38"/>
  </w:num>
  <w:num w:numId="33" w16cid:durableId="492525647">
    <w:abstractNumId w:val="2"/>
  </w:num>
  <w:num w:numId="34" w16cid:durableId="1234463176">
    <w:abstractNumId w:val="30"/>
    <w:lvlOverride w:ilvl="0">
      <w:startOverride w:val="17"/>
    </w:lvlOverride>
  </w:num>
  <w:num w:numId="35" w16cid:durableId="2042320603">
    <w:abstractNumId w:val="30"/>
    <w:lvlOverride w:ilvl="0">
      <w:startOverride w:val="18"/>
    </w:lvlOverride>
  </w:num>
  <w:num w:numId="36" w16cid:durableId="804355016">
    <w:abstractNumId w:val="30"/>
    <w:lvlOverride w:ilvl="0">
      <w:startOverride w:val="19"/>
    </w:lvlOverride>
  </w:num>
  <w:num w:numId="37" w16cid:durableId="1055860416">
    <w:abstractNumId w:val="30"/>
    <w:lvlOverride w:ilvl="0">
      <w:startOverride w:val="20"/>
    </w:lvlOverride>
  </w:num>
  <w:num w:numId="38" w16cid:durableId="753358676">
    <w:abstractNumId w:val="30"/>
    <w:lvlOverride w:ilvl="0">
      <w:startOverride w:val="21"/>
    </w:lvlOverride>
  </w:num>
  <w:num w:numId="39" w16cid:durableId="1058363009">
    <w:abstractNumId w:val="30"/>
    <w:lvlOverride w:ilvl="0">
      <w:startOverride w:val="22"/>
    </w:lvlOverride>
  </w:num>
  <w:num w:numId="40" w16cid:durableId="1471483718">
    <w:abstractNumId w:val="30"/>
    <w:lvlOverride w:ilvl="0">
      <w:startOverride w:val="23"/>
    </w:lvlOverride>
  </w:num>
  <w:num w:numId="41" w16cid:durableId="1589850216">
    <w:abstractNumId w:val="18"/>
  </w:num>
  <w:num w:numId="42" w16cid:durableId="2044361687">
    <w:abstractNumId w:val="0"/>
  </w:num>
  <w:num w:numId="43" w16cid:durableId="1050423436">
    <w:abstractNumId w:val="10"/>
  </w:num>
  <w:num w:numId="44" w16cid:durableId="338628418">
    <w:abstractNumId w:val="40"/>
  </w:num>
  <w:num w:numId="45" w16cid:durableId="982272140">
    <w:abstractNumId w:val="15"/>
  </w:num>
  <w:num w:numId="46" w16cid:durableId="74284975">
    <w:abstractNumId w:val="21"/>
  </w:num>
  <w:num w:numId="47" w16cid:durableId="1212495498">
    <w:abstractNumId w:val="9"/>
  </w:num>
  <w:num w:numId="48" w16cid:durableId="1680742140">
    <w:abstractNumId w:val="13"/>
  </w:num>
  <w:num w:numId="49" w16cid:durableId="545529028">
    <w:abstractNumId w:val="7"/>
  </w:num>
  <w:num w:numId="50" w16cid:durableId="18344229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2FEE"/>
    <w:rsid w:val="00003F05"/>
    <w:rsid w:val="00004382"/>
    <w:rsid w:val="000043FF"/>
    <w:rsid w:val="00004BE2"/>
    <w:rsid w:val="00004FC4"/>
    <w:rsid w:val="000055C8"/>
    <w:rsid w:val="00006022"/>
    <w:rsid w:val="0000612A"/>
    <w:rsid w:val="000066E6"/>
    <w:rsid w:val="00006F6A"/>
    <w:rsid w:val="000075B5"/>
    <w:rsid w:val="00007FA1"/>
    <w:rsid w:val="00010A8E"/>
    <w:rsid w:val="00011025"/>
    <w:rsid w:val="0001190E"/>
    <w:rsid w:val="00011DB0"/>
    <w:rsid w:val="00011E15"/>
    <w:rsid w:val="00012401"/>
    <w:rsid w:val="00012D11"/>
    <w:rsid w:val="000147D2"/>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4E80"/>
    <w:rsid w:val="000359AC"/>
    <w:rsid w:val="0003696E"/>
    <w:rsid w:val="00036CCB"/>
    <w:rsid w:val="000373EB"/>
    <w:rsid w:val="00040819"/>
    <w:rsid w:val="000413B1"/>
    <w:rsid w:val="00041735"/>
    <w:rsid w:val="00043591"/>
    <w:rsid w:val="00045433"/>
    <w:rsid w:val="00045B52"/>
    <w:rsid w:val="000467C1"/>
    <w:rsid w:val="00046CB6"/>
    <w:rsid w:val="00046E70"/>
    <w:rsid w:val="0005057B"/>
    <w:rsid w:val="00050B4B"/>
    <w:rsid w:val="00051274"/>
    <w:rsid w:val="00051EAE"/>
    <w:rsid w:val="00051ECF"/>
    <w:rsid w:val="0005293C"/>
    <w:rsid w:val="00052F47"/>
    <w:rsid w:val="00053101"/>
    <w:rsid w:val="00053719"/>
    <w:rsid w:val="00053B9A"/>
    <w:rsid w:val="00054E28"/>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80DE8"/>
    <w:rsid w:val="00080F60"/>
    <w:rsid w:val="00081001"/>
    <w:rsid w:val="00084540"/>
    <w:rsid w:val="00084558"/>
    <w:rsid w:val="00084B1E"/>
    <w:rsid w:val="00090564"/>
    <w:rsid w:val="00090E39"/>
    <w:rsid w:val="00091823"/>
    <w:rsid w:val="00091C56"/>
    <w:rsid w:val="000933BB"/>
    <w:rsid w:val="0009376D"/>
    <w:rsid w:val="00094A9B"/>
    <w:rsid w:val="0009759D"/>
    <w:rsid w:val="00097B99"/>
    <w:rsid w:val="000A06CA"/>
    <w:rsid w:val="000A2611"/>
    <w:rsid w:val="000A2638"/>
    <w:rsid w:val="000A4E49"/>
    <w:rsid w:val="000A508A"/>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DDA"/>
    <w:rsid w:val="000D4FA8"/>
    <w:rsid w:val="000D608B"/>
    <w:rsid w:val="000D778A"/>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47ED"/>
    <w:rsid w:val="000F5BDB"/>
    <w:rsid w:val="000F60CB"/>
    <w:rsid w:val="000F73B1"/>
    <w:rsid w:val="000F744C"/>
    <w:rsid w:val="000F7BEE"/>
    <w:rsid w:val="0010058A"/>
    <w:rsid w:val="00100BDC"/>
    <w:rsid w:val="00100CC9"/>
    <w:rsid w:val="00101247"/>
    <w:rsid w:val="00101993"/>
    <w:rsid w:val="00101DEE"/>
    <w:rsid w:val="00101E9F"/>
    <w:rsid w:val="00101F55"/>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3D9E"/>
    <w:rsid w:val="001B4427"/>
    <w:rsid w:val="001B4789"/>
    <w:rsid w:val="001B5458"/>
    <w:rsid w:val="001B6D1A"/>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999"/>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0C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2FB6"/>
    <w:rsid w:val="00254351"/>
    <w:rsid w:val="002545A8"/>
    <w:rsid w:val="00254FFF"/>
    <w:rsid w:val="00255859"/>
    <w:rsid w:val="00256488"/>
    <w:rsid w:val="00256ED5"/>
    <w:rsid w:val="00256F51"/>
    <w:rsid w:val="00256FB3"/>
    <w:rsid w:val="00257115"/>
    <w:rsid w:val="002607BA"/>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5B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A54"/>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3AAA"/>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93C"/>
    <w:rsid w:val="00303BBA"/>
    <w:rsid w:val="003052D0"/>
    <w:rsid w:val="003058B4"/>
    <w:rsid w:val="003070F0"/>
    <w:rsid w:val="00307714"/>
    <w:rsid w:val="00310252"/>
    <w:rsid w:val="00311C52"/>
    <w:rsid w:val="0031254A"/>
    <w:rsid w:val="00312B49"/>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6BC"/>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3E93"/>
    <w:rsid w:val="00394087"/>
    <w:rsid w:val="00394E62"/>
    <w:rsid w:val="003952A4"/>
    <w:rsid w:val="0039714F"/>
    <w:rsid w:val="0039753C"/>
    <w:rsid w:val="003977E9"/>
    <w:rsid w:val="003A02C8"/>
    <w:rsid w:val="003A0560"/>
    <w:rsid w:val="003A0B86"/>
    <w:rsid w:val="003A1B8D"/>
    <w:rsid w:val="003A1BB5"/>
    <w:rsid w:val="003A1F76"/>
    <w:rsid w:val="003A2D13"/>
    <w:rsid w:val="003A2EC4"/>
    <w:rsid w:val="003A354B"/>
    <w:rsid w:val="003A4E93"/>
    <w:rsid w:val="003A5688"/>
    <w:rsid w:val="003A56E6"/>
    <w:rsid w:val="003A590E"/>
    <w:rsid w:val="003A5C06"/>
    <w:rsid w:val="003A61C3"/>
    <w:rsid w:val="003A6CB6"/>
    <w:rsid w:val="003A6CC6"/>
    <w:rsid w:val="003B01F9"/>
    <w:rsid w:val="003B0210"/>
    <w:rsid w:val="003B063C"/>
    <w:rsid w:val="003B0EC1"/>
    <w:rsid w:val="003B18B4"/>
    <w:rsid w:val="003B1F77"/>
    <w:rsid w:val="003B3A1B"/>
    <w:rsid w:val="003B3DDE"/>
    <w:rsid w:val="003B434F"/>
    <w:rsid w:val="003B5B63"/>
    <w:rsid w:val="003B6A85"/>
    <w:rsid w:val="003B70A3"/>
    <w:rsid w:val="003B70C5"/>
    <w:rsid w:val="003B715D"/>
    <w:rsid w:val="003C0356"/>
    <w:rsid w:val="003C0719"/>
    <w:rsid w:val="003C0A8D"/>
    <w:rsid w:val="003C2C29"/>
    <w:rsid w:val="003C2ED7"/>
    <w:rsid w:val="003C2F94"/>
    <w:rsid w:val="003C300E"/>
    <w:rsid w:val="003C3102"/>
    <w:rsid w:val="003C380A"/>
    <w:rsid w:val="003C4CF0"/>
    <w:rsid w:val="003C5765"/>
    <w:rsid w:val="003C576E"/>
    <w:rsid w:val="003C6E07"/>
    <w:rsid w:val="003D2EBE"/>
    <w:rsid w:val="003D3492"/>
    <w:rsid w:val="003D36E0"/>
    <w:rsid w:val="003D50FE"/>
    <w:rsid w:val="003D66A1"/>
    <w:rsid w:val="003D67EC"/>
    <w:rsid w:val="003D703C"/>
    <w:rsid w:val="003E0649"/>
    <w:rsid w:val="003E0924"/>
    <w:rsid w:val="003E11D2"/>
    <w:rsid w:val="003E1C16"/>
    <w:rsid w:val="003E2535"/>
    <w:rsid w:val="003E3575"/>
    <w:rsid w:val="003E3A33"/>
    <w:rsid w:val="003E60EE"/>
    <w:rsid w:val="003E6850"/>
    <w:rsid w:val="003E7F44"/>
    <w:rsid w:val="003F1452"/>
    <w:rsid w:val="003F1720"/>
    <w:rsid w:val="003F2143"/>
    <w:rsid w:val="003F48A1"/>
    <w:rsid w:val="003F5AD9"/>
    <w:rsid w:val="003F63A5"/>
    <w:rsid w:val="003F7378"/>
    <w:rsid w:val="003F7CBF"/>
    <w:rsid w:val="004002FC"/>
    <w:rsid w:val="004004B3"/>
    <w:rsid w:val="004020D6"/>
    <w:rsid w:val="00404D35"/>
    <w:rsid w:val="00405000"/>
    <w:rsid w:val="00405026"/>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16A3"/>
    <w:rsid w:val="00432481"/>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12C"/>
    <w:rsid w:val="0046364B"/>
    <w:rsid w:val="00464131"/>
    <w:rsid w:val="00465EB9"/>
    <w:rsid w:val="004666AB"/>
    <w:rsid w:val="00466EFA"/>
    <w:rsid w:val="00470DB0"/>
    <w:rsid w:val="004710C4"/>
    <w:rsid w:val="00471472"/>
    <w:rsid w:val="0047157D"/>
    <w:rsid w:val="00471BF9"/>
    <w:rsid w:val="00473669"/>
    <w:rsid w:val="00473722"/>
    <w:rsid w:val="00473F70"/>
    <w:rsid w:val="004749CE"/>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22E5"/>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CB"/>
    <w:rsid w:val="005056D4"/>
    <w:rsid w:val="0050713B"/>
    <w:rsid w:val="00510EDE"/>
    <w:rsid w:val="00510FAA"/>
    <w:rsid w:val="0051280B"/>
    <w:rsid w:val="0051398C"/>
    <w:rsid w:val="00513D92"/>
    <w:rsid w:val="00514746"/>
    <w:rsid w:val="00515B4C"/>
    <w:rsid w:val="00515B62"/>
    <w:rsid w:val="00516DD0"/>
    <w:rsid w:val="00517A5E"/>
    <w:rsid w:val="005204C8"/>
    <w:rsid w:val="00521D81"/>
    <w:rsid w:val="0052227C"/>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1CEC"/>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426"/>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6F9"/>
    <w:rsid w:val="006157FE"/>
    <w:rsid w:val="0062013B"/>
    <w:rsid w:val="00621292"/>
    <w:rsid w:val="006218A1"/>
    <w:rsid w:val="00621E61"/>
    <w:rsid w:val="006220C8"/>
    <w:rsid w:val="0062257E"/>
    <w:rsid w:val="006237A2"/>
    <w:rsid w:val="00623BBA"/>
    <w:rsid w:val="00625F3B"/>
    <w:rsid w:val="006264C5"/>
    <w:rsid w:val="00626D2B"/>
    <w:rsid w:val="0062736E"/>
    <w:rsid w:val="006277B1"/>
    <w:rsid w:val="00630AC8"/>
    <w:rsid w:val="00631D11"/>
    <w:rsid w:val="00631F8F"/>
    <w:rsid w:val="006320BB"/>
    <w:rsid w:val="00632299"/>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3C"/>
    <w:rsid w:val="006766AA"/>
    <w:rsid w:val="006769C0"/>
    <w:rsid w:val="00676C38"/>
    <w:rsid w:val="00677288"/>
    <w:rsid w:val="0068129B"/>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3A49"/>
    <w:rsid w:val="006C407F"/>
    <w:rsid w:val="006C439D"/>
    <w:rsid w:val="006C4DA2"/>
    <w:rsid w:val="006C5598"/>
    <w:rsid w:val="006C565C"/>
    <w:rsid w:val="006C656F"/>
    <w:rsid w:val="006C76D0"/>
    <w:rsid w:val="006D0F05"/>
    <w:rsid w:val="006D1181"/>
    <w:rsid w:val="006D1AF8"/>
    <w:rsid w:val="006D21A9"/>
    <w:rsid w:val="006D3C2A"/>
    <w:rsid w:val="006D405C"/>
    <w:rsid w:val="006D4BCB"/>
    <w:rsid w:val="006D4BCF"/>
    <w:rsid w:val="006D6729"/>
    <w:rsid w:val="006D682F"/>
    <w:rsid w:val="006D6E4D"/>
    <w:rsid w:val="006E0830"/>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239"/>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BF"/>
    <w:rsid w:val="00740AD6"/>
    <w:rsid w:val="00741C59"/>
    <w:rsid w:val="0074247D"/>
    <w:rsid w:val="00742D0E"/>
    <w:rsid w:val="00745E54"/>
    <w:rsid w:val="0075001F"/>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47DB"/>
    <w:rsid w:val="0076518B"/>
    <w:rsid w:val="007656D9"/>
    <w:rsid w:val="00766D10"/>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670"/>
    <w:rsid w:val="00784A19"/>
    <w:rsid w:val="00785461"/>
    <w:rsid w:val="00786227"/>
    <w:rsid w:val="0078656D"/>
    <w:rsid w:val="00786866"/>
    <w:rsid w:val="00786E3F"/>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4FCF"/>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005"/>
    <w:rsid w:val="007C78AB"/>
    <w:rsid w:val="007C7EA0"/>
    <w:rsid w:val="007D1E38"/>
    <w:rsid w:val="007D2B85"/>
    <w:rsid w:val="007D3487"/>
    <w:rsid w:val="007D38B2"/>
    <w:rsid w:val="007D4F88"/>
    <w:rsid w:val="007D582D"/>
    <w:rsid w:val="007D5C3B"/>
    <w:rsid w:val="007D640A"/>
    <w:rsid w:val="007D6651"/>
    <w:rsid w:val="007D6790"/>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38F"/>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16AA"/>
    <w:rsid w:val="008A22C9"/>
    <w:rsid w:val="008A263B"/>
    <w:rsid w:val="008A3559"/>
    <w:rsid w:val="008A3ACD"/>
    <w:rsid w:val="008A3BD3"/>
    <w:rsid w:val="008A3D8A"/>
    <w:rsid w:val="008A48C0"/>
    <w:rsid w:val="008A5AF5"/>
    <w:rsid w:val="008A73F6"/>
    <w:rsid w:val="008B00D6"/>
    <w:rsid w:val="008B057E"/>
    <w:rsid w:val="008B1C42"/>
    <w:rsid w:val="008B35B8"/>
    <w:rsid w:val="008B3AF5"/>
    <w:rsid w:val="008B45A2"/>
    <w:rsid w:val="008B4A40"/>
    <w:rsid w:val="008B5B3A"/>
    <w:rsid w:val="008B5D1F"/>
    <w:rsid w:val="008B66AC"/>
    <w:rsid w:val="008B7A48"/>
    <w:rsid w:val="008C034D"/>
    <w:rsid w:val="008C2105"/>
    <w:rsid w:val="008C2733"/>
    <w:rsid w:val="008C4E60"/>
    <w:rsid w:val="008C5B38"/>
    <w:rsid w:val="008C638F"/>
    <w:rsid w:val="008C7B97"/>
    <w:rsid w:val="008C7BA3"/>
    <w:rsid w:val="008C7CAF"/>
    <w:rsid w:val="008D0664"/>
    <w:rsid w:val="008D1B8B"/>
    <w:rsid w:val="008D336E"/>
    <w:rsid w:val="008D44A6"/>
    <w:rsid w:val="008D4FDA"/>
    <w:rsid w:val="008D5B7E"/>
    <w:rsid w:val="008D7187"/>
    <w:rsid w:val="008E014D"/>
    <w:rsid w:val="008E149A"/>
    <w:rsid w:val="008E1544"/>
    <w:rsid w:val="008E2C31"/>
    <w:rsid w:val="008E2E8E"/>
    <w:rsid w:val="008E34A6"/>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78"/>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87CAB"/>
    <w:rsid w:val="00990583"/>
    <w:rsid w:val="0099095E"/>
    <w:rsid w:val="00990B2C"/>
    <w:rsid w:val="00990E89"/>
    <w:rsid w:val="0099114A"/>
    <w:rsid w:val="00991A63"/>
    <w:rsid w:val="00991B7D"/>
    <w:rsid w:val="009921A4"/>
    <w:rsid w:val="00993304"/>
    <w:rsid w:val="00993AFB"/>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51C6"/>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1A4"/>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2DBC"/>
    <w:rsid w:val="00A23171"/>
    <w:rsid w:val="00A23362"/>
    <w:rsid w:val="00A235D5"/>
    <w:rsid w:val="00A23702"/>
    <w:rsid w:val="00A262C4"/>
    <w:rsid w:val="00A273B1"/>
    <w:rsid w:val="00A27C52"/>
    <w:rsid w:val="00A27F82"/>
    <w:rsid w:val="00A301EB"/>
    <w:rsid w:val="00A30866"/>
    <w:rsid w:val="00A30B77"/>
    <w:rsid w:val="00A31B49"/>
    <w:rsid w:val="00A3276C"/>
    <w:rsid w:val="00A3278E"/>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27BA"/>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18BD"/>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7858"/>
    <w:rsid w:val="00AB7A79"/>
    <w:rsid w:val="00AB7F89"/>
    <w:rsid w:val="00AC0915"/>
    <w:rsid w:val="00AC1199"/>
    <w:rsid w:val="00AC134E"/>
    <w:rsid w:val="00AC357A"/>
    <w:rsid w:val="00AC4DA5"/>
    <w:rsid w:val="00AC53F5"/>
    <w:rsid w:val="00AC5F8D"/>
    <w:rsid w:val="00AC6448"/>
    <w:rsid w:val="00AC64C1"/>
    <w:rsid w:val="00AC6F55"/>
    <w:rsid w:val="00AC7262"/>
    <w:rsid w:val="00AD0A8E"/>
    <w:rsid w:val="00AD10D5"/>
    <w:rsid w:val="00AD28F4"/>
    <w:rsid w:val="00AD7560"/>
    <w:rsid w:val="00AD7B2D"/>
    <w:rsid w:val="00AE01D9"/>
    <w:rsid w:val="00AE06A7"/>
    <w:rsid w:val="00AE2122"/>
    <w:rsid w:val="00AE338B"/>
    <w:rsid w:val="00AE3BCF"/>
    <w:rsid w:val="00AE4C80"/>
    <w:rsid w:val="00AE5339"/>
    <w:rsid w:val="00AE5AEB"/>
    <w:rsid w:val="00AE5BD9"/>
    <w:rsid w:val="00AE6C04"/>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923"/>
    <w:rsid w:val="00B21D87"/>
    <w:rsid w:val="00B2237F"/>
    <w:rsid w:val="00B22D97"/>
    <w:rsid w:val="00B2377C"/>
    <w:rsid w:val="00B238B6"/>
    <w:rsid w:val="00B24888"/>
    <w:rsid w:val="00B24A5D"/>
    <w:rsid w:val="00B25ECE"/>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5E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3A5E"/>
    <w:rsid w:val="00BB589A"/>
    <w:rsid w:val="00BB5A98"/>
    <w:rsid w:val="00BB6F75"/>
    <w:rsid w:val="00BB767E"/>
    <w:rsid w:val="00BB7CFE"/>
    <w:rsid w:val="00BC0BEB"/>
    <w:rsid w:val="00BC12E2"/>
    <w:rsid w:val="00BC29EE"/>
    <w:rsid w:val="00BC38F3"/>
    <w:rsid w:val="00BC58F2"/>
    <w:rsid w:val="00BC5BFF"/>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59E"/>
    <w:rsid w:val="00BF7355"/>
    <w:rsid w:val="00C000E0"/>
    <w:rsid w:val="00C00E85"/>
    <w:rsid w:val="00C02055"/>
    <w:rsid w:val="00C03071"/>
    <w:rsid w:val="00C04067"/>
    <w:rsid w:val="00C040DF"/>
    <w:rsid w:val="00C04911"/>
    <w:rsid w:val="00C04AFD"/>
    <w:rsid w:val="00C056CE"/>
    <w:rsid w:val="00C05A2A"/>
    <w:rsid w:val="00C05E65"/>
    <w:rsid w:val="00C068A3"/>
    <w:rsid w:val="00C06C39"/>
    <w:rsid w:val="00C074DF"/>
    <w:rsid w:val="00C07D6A"/>
    <w:rsid w:val="00C1040E"/>
    <w:rsid w:val="00C106E9"/>
    <w:rsid w:val="00C10D37"/>
    <w:rsid w:val="00C1151E"/>
    <w:rsid w:val="00C11D16"/>
    <w:rsid w:val="00C11DC5"/>
    <w:rsid w:val="00C12B8F"/>
    <w:rsid w:val="00C135F7"/>
    <w:rsid w:val="00C138F4"/>
    <w:rsid w:val="00C1475F"/>
    <w:rsid w:val="00C16027"/>
    <w:rsid w:val="00C2299B"/>
    <w:rsid w:val="00C22BBA"/>
    <w:rsid w:val="00C2403C"/>
    <w:rsid w:val="00C24920"/>
    <w:rsid w:val="00C255B1"/>
    <w:rsid w:val="00C26B09"/>
    <w:rsid w:val="00C26BCE"/>
    <w:rsid w:val="00C275DB"/>
    <w:rsid w:val="00C307AA"/>
    <w:rsid w:val="00C318E6"/>
    <w:rsid w:val="00C3273C"/>
    <w:rsid w:val="00C33170"/>
    <w:rsid w:val="00C33553"/>
    <w:rsid w:val="00C33D97"/>
    <w:rsid w:val="00C34445"/>
    <w:rsid w:val="00C34B2A"/>
    <w:rsid w:val="00C34D3D"/>
    <w:rsid w:val="00C34E53"/>
    <w:rsid w:val="00C351A6"/>
    <w:rsid w:val="00C3544D"/>
    <w:rsid w:val="00C355A4"/>
    <w:rsid w:val="00C35F18"/>
    <w:rsid w:val="00C367B1"/>
    <w:rsid w:val="00C372A5"/>
    <w:rsid w:val="00C37F9C"/>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5D1A"/>
    <w:rsid w:val="00C56BF0"/>
    <w:rsid w:val="00C56E69"/>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0CC"/>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95F3E"/>
    <w:rsid w:val="00CA0463"/>
    <w:rsid w:val="00CA09B8"/>
    <w:rsid w:val="00CA1844"/>
    <w:rsid w:val="00CA26CC"/>
    <w:rsid w:val="00CA3583"/>
    <w:rsid w:val="00CA4EB1"/>
    <w:rsid w:val="00CA5564"/>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802"/>
    <w:rsid w:val="00D04A09"/>
    <w:rsid w:val="00D05720"/>
    <w:rsid w:val="00D05BDF"/>
    <w:rsid w:val="00D067F2"/>
    <w:rsid w:val="00D07ABB"/>
    <w:rsid w:val="00D12904"/>
    <w:rsid w:val="00D155D9"/>
    <w:rsid w:val="00D1561B"/>
    <w:rsid w:val="00D17EE5"/>
    <w:rsid w:val="00D212B0"/>
    <w:rsid w:val="00D21D4A"/>
    <w:rsid w:val="00D2268A"/>
    <w:rsid w:val="00D24079"/>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473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3A1C"/>
    <w:rsid w:val="00D83E17"/>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06E7"/>
    <w:rsid w:val="00DA1008"/>
    <w:rsid w:val="00DA1330"/>
    <w:rsid w:val="00DA1BF4"/>
    <w:rsid w:val="00DA3186"/>
    <w:rsid w:val="00DA3938"/>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3E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4B48"/>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26C9"/>
    <w:rsid w:val="00E838D4"/>
    <w:rsid w:val="00E851C1"/>
    <w:rsid w:val="00E85A68"/>
    <w:rsid w:val="00E8695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A90"/>
    <w:rsid w:val="00EC4ED4"/>
    <w:rsid w:val="00ED0B62"/>
    <w:rsid w:val="00ED165D"/>
    <w:rsid w:val="00ED22BB"/>
    <w:rsid w:val="00ED2D63"/>
    <w:rsid w:val="00ED3EAC"/>
    <w:rsid w:val="00ED5D9E"/>
    <w:rsid w:val="00ED6568"/>
    <w:rsid w:val="00ED659F"/>
    <w:rsid w:val="00ED6780"/>
    <w:rsid w:val="00ED7E84"/>
    <w:rsid w:val="00EE082E"/>
    <w:rsid w:val="00EE251C"/>
    <w:rsid w:val="00EE3CD9"/>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6C4"/>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55B7"/>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4EF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826C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 w:type="paragraph" w:customStyle="1" w:styleId="Default">
    <w:name w:val="Default"/>
    <w:rsid w:val="00621292"/>
    <w:pPr>
      <w:autoSpaceDE w:val="0"/>
      <w:autoSpaceDN w:val="0"/>
      <w:adjustRightInd w:val="0"/>
    </w:pPr>
    <w:rPr>
      <w:color w:val="000000"/>
      <w:sz w:val="24"/>
      <w:szCs w:val="24"/>
    </w:rPr>
  </w:style>
  <w:style w:type="character" w:customStyle="1" w:styleId="Titre3Car">
    <w:name w:val="Titre 3 Car"/>
    <w:basedOn w:val="Policepardfaut"/>
    <w:link w:val="Titre3"/>
    <w:uiPriority w:val="9"/>
    <w:semiHidden/>
    <w:rsid w:val="00E826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3656690">
      <w:bodyDiv w:val="1"/>
      <w:marLeft w:val="0"/>
      <w:marRight w:val="0"/>
      <w:marTop w:val="0"/>
      <w:marBottom w:val="0"/>
      <w:divBdr>
        <w:top w:val="none" w:sz="0" w:space="0" w:color="auto"/>
        <w:left w:val="none" w:sz="0" w:space="0" w:color="auto"/>
        <w:bottom w:val="none" w:sz="0" w:space="0" w:color="auto"/>
        <w:right w:val="none" w:sz="0" w:space="0" w:color="auto"/>
      </w:divBdr>
      <w:divsChild>
        <w:div w:id="1143307455">
          <w:marLeft w:val="0"/>
          <w:marRight w:val="0"/>
          <w:marTop w:val="0"/>
          <w:marBottom w:val="0"/>
          <w:divBdr>
            <w:top w:val="none" w:sz="0" w:space="0" w:color="auto"/>
            <w:left w:val="none" w:sz="0" w:space="0" w:color="auto"/>
            <w:bottom w:val="none" w:sz="0" w:space="0" w:color="auto"/>
            <w:right w:val="none" w:sz="0" w:space="0" w:color="auto"/>
          </w:divBdr>
          <w:divsChild>
            <w:div w:id="760759716">
              <w:marLeft w:val="0"/>
              <w:marRight w:val="0"/>
              <w:marTop w:val="0"/>
              <w:marBottom w:val="0"/>
              <w:divBdr>
                <w:top w:val="none" w:sz="0" w:space="0" w:color="auto"/>
                <w:left w:val="none" w:sz="0" w:space="0" w:color="auto"/>
                <w:bottom w:val="none" w:sz="0" w:space="0" w:color="auto"/>
                <w:right w:val="none" w:sz="0" w:space="0" w:color="auto"/>
              </w:divBdr>
              <w:divsChild>
                <w:div w:id="8217740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5129764">
          <w:marLeft w:val="0"/>
          <w:marRight w:val="0"/>
          <w:marTop w:val="0"/>
          <w:marBottom w:val="0"/>
          <w:divBdr>
            <w:top w:val="none" w:sz="0" w:space="0" w:color="auto"/>
            <w:left w:val="none" w:sz="0" w:space="0" w:color="auto"/>
            <w:bottom w:val="none" w:sz="0" w:space="0" w:color="auto"/>
            <w:right w:val="none" w:sz="0" w:space="0" w:color="auto"/>
          </w:divBdr>
          <w:divsChild>
            <w:div w:id="176970156">
              <w:marLeft w:val="0"/>
              <w:marRight w:val="0"/>
              <w:marTop w:val="0"/>
              <w:marBottom w:val="0"/>
              <w:divBdr>
                <w:top w:val="none" w:sz="0" w:space="0" w:color="auto"/>
                <w:left w:val="none" w:sz="0" w:space="0" w:color="auto"/>
                <w:bottom w:val="none" w:sz="0" w:space="0" w:color="auto"/>
                <w:right w:val="none" w:sz="0" w:space="0" w:color="auto"/>
              </w:divBdr>
              <w:divsChild>
                <w:div w:id="1227494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2249135">
          <w:marLeft w:val="0"/>
          <w:marRight w:val="0"/>
          <w:marTop w:val="0"/>
          <w:marBottom w:val="0"/>
          <w:divBdr>
            <w:top w:val="none" w:sz="0" w:space="0" w:color="auto"/>
            <w:left w:val="none" w:sz="0" w:space="0" w:color="auto"/>
            <w:bottom w:val="none" w:sz="0" w:space="0" w:color="auto"/>
            <w:right w:val="none" w:sz="0" w:space="0" w:color="auto"/>
          </w:divBdr>
          <w:divsChild>
            <w:div w:id="2022972413">
              <w:marLeft w:val="0"/>
              <w:marRight w:val="0"/>
              <w:marTop w:val="0"/>
              <w:marBottom w:val="0"/>
              <w:divBdr>
                <w:top w:val="none" w:sz="0" w:space="0" w:color="auto"/>
                <w:left w:val="none" w:sz="0" w:space="0" w:color="auto"/>
                <w:bottom w:val="none" w:sz="0" w:space="0" w:color="auto"/>
                <w:right w:val="none" w:sz="0" w:space="0" w:color="auto"/>
              </w:divBdr>
              <w:divsChild>
                <w:div w:id="6023016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65107380">
      <w:bodyDiv w:val="1"/>
      <w:marLeft w:val="0"/>
      <w:marRight w:val="0"/>
      <w:marTop w:val="0"/>
      <w:marBottom w:val="0"/>
      <w:divBdr>
        <w:top w:val="none" w:sz="0" w:space="0" w:color="auto"/>
        <w:left w:val="none" w:sz="0" w:space="0" w:color="auto"/>
        <w:bottom w:val="none" w:sz="0" w:space="0" w:color="auto"/>
        <w:right w:val="none" w:sz="0" w:space="0" w:color="auto"/>
      </w:divBdr>
      <w:divsChild>
        <w:div w:id="1087993388">
          <w:marLeft w:val="0"/>
          <w:marRight w:val="0"/>
          <w:marTop w:val="0"/>
          <w:marBottom w:val="0"/>
          <w:divBdr>
            <w:top w:val="none" w:sz="0" w:space="0" w:color="auto"/>
            <w:left w:val="none" w:sz="0" w:space="0" w:color="auto"/>
            <w:bottom w:val="none" w:sz="0" w:space="0" w:color="auto"/>
            <w:right w:val="none" w:sz="0" w:space="0" w:color="auto"/>
          </w:divBdr>
          <w:divsChild>
            <w:div w:id="15472847">
              <w:marLeft w:val="0"/>
              <w:marRight w:val="0"/>
              <w:marTop w:val="0"/>
              <w:marBottom w:val="0"/>
              <w:divBdr>
                <w:top w:val="none" w:sz="0" w:space="0" w:color="auto"/>
                <w:left w:val="none" w:sz="0" w:space="0" w:color="auto"/>
                <w:bottom w:val="none" w:sz="0" w:space="0" w:color="auto"/>
                <w:right w:val="none" w:sz="0" w:space="0" w:color="auto"/>
              </w:divBdr>
              <w:divsChild>
                <w:div w:id="1173641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85190">
          <w:marLeft w:val="0"/>
          <w:marRight w:val="0"/>
          <w:marTop w:val="0"/>
          <w:marBottom w:val="0"/>
          <w:divBdr>
            <w:top w:val="none" w:sz="0" w:space="0" w:color="auto"/>
            <w:left w:val="none" w:sz="0" w:space="0" w:color="auto"/>
            <w:bottom w:val="none" w:sz="0" w:space="0" w:color="auto"/>
            <w:right w:val="none" w:sz="0" w:space="0" w:color="auto"/>
          </w:divBdr>
          <w:divsChild>
            <w:div w:id="2128813331">
              <w:marLeft w:val="0"/>
              <w:marRight w:val="0"/>
              <w:marTop w:val="0"/>
              <w:marBottom w:val="0"/>
              <w:divBdr>
                <w:top w:val="none" w:sz="0" w:space="0" w:color="auto"/>
                <w:left w:val="none" w:sz="0" w:space="0" w:color="auto"/>
                <w:bottom w:val="none" w:sz="0" w:space="0" w:color="auto"/>
                <w:right w:val="none" w:sz="0" w:space="0" w:color="auto"/>
              </w:divBdr>
              <w:divsChild>
                <w:div w:id="828181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7925305">
          <w:marLeft w:val="0"/>
          <w:marRight w:val="0"/>
          <w:marTop w:val="0"/>
          <w:marBottom w:val="0"/>
          <w:divBdr>
            <w:top w:val="none" w:sz="0" w:space="0" w:color="auto"/>
            <w:left w:val="none" w:sz="0" w:space="0" w:color="auto"/>
            <w:bottom w:val="none" w:sz="0" w:space="0" w:color="auto"/>
            <w:right w:val="none" w:sz="0" w:space="0" w:color="auto"/>
          </w:divBdr>
          <w:divsChild>
            <w:div w:id="1408769465">
              <w:marLeft w:val="0"/>
              <w:marRight w:val="0"/>
              <w:marTop w:val="0"/>
              <w:marBottom w:val="0"/>
              <w:divBdr>
                <w:top w:val="none" w:sz="0" w:space="0" w:color="auto"/>
                <w:left w:val="none" w:sz="0" w:space="0" w:color="auto"/>
                <w:bottom w:val="none" w:sz="0" w:space="0" w:color="auto"/>
                <w:right w:val="none" w:sz="0" w:space="0" w:color="auto"/>
              </w:divBdr>
              <w:divsChild>
                <w:div w:id="1489518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1474115">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4929083">
      <w:bodyDiv w:val="1"/>
      <w:marLeft w:val="0"/>
      <w:marRight w:val="0"/>
      <w:marTop w:val="0"/>
      <w:marBottom w:val="0"/>
      <w:divBdr>
        <w:top w:val="none" w:sz="0" w:space="0" w:color="auto"/>
        <w:left w:val="none" w:sz="0" w:space="0" w:color="auto"/>
        <w:bottom w:val="none" w:sz="0" w:space="0" w:color="auto"/>
        <w:right w:val="none" w:sz="0" w:space="0" w:color="auto"/>
      </w:divBdr>
      <w:divsChild>
        <w:div w:id="1989164475">
          <w:marLeft w:val="0"/>
          <w:marRight w:val="0"/>
          <w:marTop w:val="0"/>
          <w:marBottom w:val="0"/>
          <w:divBdr>
            <w:top w:val="none" w:sz="0" w:space="0" w:color="auto"/>
            <w:left w:val="none" w:sz="0" w:space="0" w:color="auto"/>
            <w:bottom w:val="none" w:sz="0" w:space="0" w:color="auto"/>
            <w:right w:val="none" w:sz="0" w:space="0" w:color="auto"/>
          </w:divBdr>
          <w:divsChild>
            <w:div w:id="755320977">
              <w:marLeft w:val="0"/>
              <w:marRight w:val="0"/>
              <w:marTop w:val="0"/>
              <w:marBottom w:val="0"/>
              <w:divBdr>
                <w:top w:val="none" w:sz="0" w:space="0" w:color="auto"/>
                <w:left w:val="none" w:sz="0" w:space="0" w:color="auto"/>
                <w:bottom w:val="none" w:sz="0" w:space="0" w:color="auto"/>
                <w:right w:val="none" w:sz="0" w:space="0" w:color="auto"/>
              </w:divBdr>
              <w:divsChild>
                <w:div w:id="42098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8636108">
          <w:marLeft w:val="0"/>
          <w:marRight w:val="0"/>
          <w:marTop w:val="0"/>
          <w:marBottom w:val="0"/>
          <w:divBdr>
            <w:top w:val="none" w:sz="0" w:space="0" w:color="auto"/>
            <w:left w:val="none" w:sz="0" w:space="0" w:color="auto"/>
            <w:bottom w:val="none" w:sz="0" w:space="0" w:color="auto"/>
            <w:right w:val="none" w:sz="0" w:space="0" w:color="auto"/>
          </w:divBdr>
          <w:divsChild>
            <w:div w:id="453713903">
              <w:marLeft w:val="0"/>
              <w:marRight w:val="0"/>
              <w:marTop w:val="0"/>
              <w:marBottom w:val="0"/>
              <w:divBdr>
                <w:top w:val="none" w:sz="0" w:space="0" w:color="auto"/>
                <w:left w:val="none" w:sz="0" w:space="0" w:color="auto"/>
                <w:bottom w:val="none" w:sz="0" w:space="0" w:color="auto"/>
                <w:right w:val="none" w:sz="0" w:space="0" w:color="auto"/>
              </w:divBdr>
              <w:divsChild>
                <w:div w:id="1506506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33949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5466632">
      <w:bodyDiv w:val="1"/>
      <w:marLeft w:val="0"/>
      <w:marRight w:val="0"/>
      <w:marTop w:val="0"/>
      <w:marBottom w:val="0"/>
      <w:divBdr>
        <w:top w:val="none" w:sz="0" w:space="0" w:color="auto"/>
        <w:left w:val="none" w:sz="0" w:space="0" w:color="auto"/>
        <w:bottom w:val="none" w:sz="0" w:space="0" w:color="auto"/>
        <w:right w:val="none" w:sz="0" w:space="0" w:color="auto"/>
      </w:divBdr>
      <w:divsChild>
        <w:div w:id="433789300">
          <w:marLeft w:val="0"/>
          <w:marRight w:val="0"/>
          <w:marTop w:val="0"/>
          <w:marBottom w:val="0"/>
          <w:divBdr>
            <w:top w:val="none" w:sz="0" w:space="0" w:color="auto"/>
            <w:left w:val="none" w:sz="0" w:space="0" w:color="auto"/>
            <w:bottom w:val="none" w:sz="0" w:space="0" w:color="auto"/>
            <w:right w:val="none" w:sz="0" w:space="0" w:color="auto"/>
          </w:divBdr>
          <w:divsChild>
            <w:div w:id="1980189935">
              <w:marLeft w:val="0"/>
              <w:marRight w:val="0"/>
              <w:marTop w:val="0"/>
              <w:marBottom w:val="0"/>
              <w:divBdr>
                <w:top w:val="none" w:sz="0" w:space="0" w:color="auto"/>
                <w:left w:val="none" w:sz="0" w:space="0" w:color="auto"/>
                <w:bottom w:val="none" w:sz="0" w:space="0" w:color="auto"/>
                <w:right w:val="none" w:sz="0" w:space="0" w:color="auto"/>
              </w:divBdr>
              <w:divsChild>
                <w:div w:id="623116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0455511">
          <w:marLeft w:val="0"/>
          <w:marRight w:val="0"/>
          <w:marTop w:val="0"/>
          <w:marBottom w:val="0"/>
          <w:divBdr>
            <w:top w:val="none" w:sz="0" w:space="0" w:color="auto"/>
            <w:left w:val="none" w:sz="0" w:space="0" w:color="auto"/>
            <w:bottom w:val="none" w:sz="0" w:space="0" w:color="auto"/>
            <w:right w:val="none" w:sz="0" w:space="0" w:color="auto"/>
          </w:divBdr>
          <w:divsChild>
            <w:div w:id="2032418182">
              <w:marLeft w:val="0"/>
              <w:marRight w:val="0"/>
              <w:marTop w:val="0"/>
              <w:marBottom w:val="0"/>
              <w:divBdr>
                <w:top w:val="none" w:sz="0" w:space="0" w:color="auto"/>
                <w:left w:val="none" w:sz="0" w:space="0" w:color="auto"/>
                <w:bottom w:val="none" w:sz="0" w:space="0" w:color="auto"/>
                <w:right w:val="none" w:sz="0" w:space="0" w:color="auto"/>
              </w:divBdr>
              <w:divsChild>
                <w:div w:id="199166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422398">
          <w:marLeft w:val="0"/>
          <w:marRight w:val="0"/>
          <w:marTop w:val="0"/>
          <w:marBottom w:val="0"/>
          <w:divBdr>
            <w:top w:val="none" w:sz="0" w:space="0" w:color="auto"/>
            <w:left w:val="none" w:sz="0" w:space="0" w:color="auto"/>
            <w:bottom w:val="none" w:sz="0" w:space="0" w:color="auto"/>
            <w:right w:val="none" w:sz="0" w:space="0" w:color="auto"/>
          </w:divBdr>
          <w:divsChild>
            <w:div w:id="1502117443">
              <w:marLeft w:val="0"/>
              <w:marRight w:val="0"/>
              <w:marTop w:val="0"/>
              <w:marBottom w:val="0"/>
              <w:divBdr>
                <w:top w:val="none" w:sz="0" w:space="0" w:color="auto"/>
                <w:left w:val="none" w:sz="0" w:space="0" w:color="auto"/>
                <w:bottom w:val="none" w:sz="0" w:space="0" w:color="auto"/>
                <w:right w:val="none" w:sz="0" w:space="0" w:color="auto"/>
              </w:divBdr>
              <w:divsChild>
                <w:div w:id="1654219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7357761">
          <w:marLeft w:val="0"/>
          <w:marRight w:val="0"/>
          <w:marTop w:val="0"/>
          <w:marBottom w:val="0"/>
          <w:divBdr>
            <w:top w:val="none" w:sz="0" w:space="0" w:color="auto"/>
            <w:left w:val="none" w:sz="0" w:space="0" w:color="auto"/>
            <w:bottom w:val="none" w:sz="0" w:space="0" w:color="auto"/>
            <w:right w:val="none" w:sz="0" w:space="0" w:color="auto"/>
          </w:divBdr>
          <w:divsChild>
            <w:div w:id="1325862992">
              <w:marLeft w:val="0"/>
              <w:marRight w:val="0"/>
              <w:marTop w:val="0"/>
              <w:marBottom w:val="0"/>
              <w:divBdr>
                <w:top w:val="none" w:sz="0" w:space="0" w:color="auto"/>
                <w:left w:val="none" w:sz="0" w:space="0" w:color="auto"/>
                <w:bottom w:val="none" w:sz="0" w:space="0" w:color="auto"/>
                <w:right w:val="none" w:sz="0" w:space="0" w:color="auto"/>
              </w:divBdr>
              <w:divsChild>
                <w:div w:id="1445156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3961271">
          <w:marLeft w:val="0"/>
          <w:marRight w:val="0"/>
          <w:marTop w:val="0"/>
          <w:marBottom w:val="0"/>
          <w:divBdr>
            <w:top w:val="none" w:sz="0" w:space="0" w:color="auto"/>
            <w:left w:val="none" w:sz="0" w:space="0" w:color="auto"/>
            <w:bottom w:val="none" w:sz="0" w:space="0" w:color="auto"/>
            <w:right w:val="none" w:sz="0" w:space="0" w:color="auto"/>
          </w:divBdr>
          <w:divsChild>
            <w:div w:id="1170103958">
              <w:marLeft w:val="0"/>
              <w:marRight w:val="0"/>
              <w:marTop w:val="0"/>
              <w:marBottom w:val="0"/>
              <w:divBdr>
                <w:top w:val="none" w:sz="0" w:space="0" w:color="auto"/>
                <w:left w:val="none" w:sz="0" w:space="0" w:color="auto"/>
                <w:bottom w:val="none" w:sz="0" w:space="0" w:color="auto"/>
                <w:right w:val="none" w:sz="0" w:space="0" w:color="auto"/>
              </w:divBdr>
              <w:divsChild>
                <w:div w:id="15849540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0769970">
          <w:marLeft w:val="0"/>
          <w:marRight w:val="0"/>
          <w:marTop w:val="0"/>
          <w:marBottom w:val="0"/>
          <w:divBdr>
            <w:top w:val="none" w:sz="0" w:space="0" w:color="auto"/>
            <w:left w:val="none" w:sz="0" w:space="0" w:color="auto"/>
            <w:bottom w:val="none" w:sz="0" w:space="0" w:color="auto"/>
            <w:right w:val="none" w:sz="0" w:space="0" w:color="auto"/>
          </w:divBdr>
          <w:divsChild>
            <w:div w:id="183831577">
              <w:marLeft w:val="0"/>
              <w:marRight w:val="0"/>
              <w:marTop w:val="0"/>
              <w:marBottom w:val="0"/>
              <w:divBdr>
                <w:top w:val="none" w:sz="0" w:space="0" w:color="auto"/>
                <w:left w:val="none" w:sz="0" w:space="0" w:color="auto"/>
                <w:bottom w:val="none" w:sz="0" w:space="0" w:color="auto"/>
                <w:right w:val="none" w:sz="0" w:space="0" w:color="auto"/>
              </w:divBdr>
              <w:divsChild>
                <w:div w:id="21180147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68664">
          <w:marLeft w:val="0"/>
          <w:marRight w:val="0"/>
          <w:marTop w:val="0"/>
          <w:marBottom w:val="0"/>
          <w:divBdr>
            <w:top w:val="none" w:sz="0" w:space="0" w:color="auto"/>
            <w:left w:val="none" w:sz="0" w:space="0" w:color="auto"/>
            <w:bottom w:val="none" w:sz="0" w:space="0" w:color="auto"/>
            <w:right w:val="none" w:sz="0" w:space="0" w:color="auto"/>
          </w:divBdr>
          <w:divsChild>
            <w:div w:id="1548101711">
              <w:marLeft w:val="0"/>
              <w:marRight w:val="0"/>
              <w:marTop w:val="0"/>
              <w:marBottom w:val="0"/>
              <w:divBdr>
                <w:top w:val="none" w:sz="0" w:space="0" w:color="auto"/>
                <w:left w:val="none" w:sz="0" w:space="0" w:color="auto"/>
                <w:bottom w:val="none" w:sz="0" w:space="0" w:color="auto"/>
                <w:right w:val="none" w:sz="0" w:space="0" w:color="auto"/>
              </w:divBdr>
              <w:divsChild>
                <w:div w:id="21263447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0987540">
          <w:marLeft w:val="0"/>
          <w:marRight w:val="0"/>
          <w:marTop w:val="0"/>
          <w:marBottom w:val="0"/>
          <w:divBdr>
            <w:top w:val="none" w:sz="0" w:space="0" w:color="auto"/>
            <w:left w:val="none" w:sz="0" w:space="0" w:color="auto"/>
            <w:bottom w:val="none" w:sz="0" w:space="0" w:color="auto"/>
            <w:right w:val="none" w:sz="0" w:space="0" w:color="auto"/>
          </w:divBdr>
          <w:divsChild>
            <w:div w:id="362176656">
              <w:marLeft w:val="0"/>
              <w:marRight w:val="0"/>
              <w:marTop w:val="0"/>
              <w:marBottom w:val="0"/>
              <w:divBdr>
                <w:top w:val="none" w:sz="0" w:space="0" w:color="auto"/>
                <w:left w:val="none" w:sz="0" w:space="0" w:color="auto"/>
                <w:bottom w:val="none" w:sz="0" w:space="0" w:color="auto"/>
                <w:right w:val="none" w:sz="0" w:space="0" w:color="auto"/>
              </w:divBdr>
              <w:divsChild>
                <w:div w:id="17784810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014201">
          <w:marLeft w:val="0"/>
          <w:marRight w:val="0"/>
          <w:marTop w:val="0"/>
          <w:marBottom w:val="0"/>
          <w:divBdr>
            <w:top w:val="none" w:sz="0" w:space="0" w:color="auto"/>
            <w:left w:val="none" w:sz="0" w:space="0" w:color="auto"/>
            <w:bottom w:val="none" w:sz="0" w:space="0" w:color="auto"/>
            <w:right w:val="none" w:sz="0" w:space="0" w:color="auto"/>
          </w:divBdr>
          <w:divsChild>
            <w:div w:id="1616791342">
              <w:marLeft w:val="0"/>
              <w:marRight w:val="0"/>
              <w:marTop w:val="0"/>
              <w:marBottom w:val="0"/>
              <w:divBdr>
                <w:top w:val="none" w:sz="0" w:space="0" w:color="auto"/>
                <w:left w:val="none" w:sz="0" w:space="0" w:color="auto"/>
                <w:bottom w:val="none" w:sz="0" w:space="0" w:color="auto"/>
                <w:right w:val="none" w:sz="0" w:space="0" w:color="auto"/>
              </w:divBdr>
              <w:divsChild>
                <w:div w:id="17962117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4450835">
          <w:marLeft w:val="0"/>
          <w:marRight w:val="0"/>
          <w:marTop w:val="0"/>
          <w:marBottom w:val="0"/>
          <w:divBdr>
            <w:top w:val="none" w:sz="0" w:space="0" w:color="auto"/>
            <w:left w:val="none" w:sz="0" w:space="0" w:color="auto"/>
            <w:bottom w:val="none" w:sz="0" w:space="0" w:color="auto"/>
            <w:right w:val="none" w:sz="0" w:space="0" w:color="auto"/>
          </w:divBdr>
          <w:divsChild>
            <w:div w:id="1438719017">
              <w:marLeft w:val="0"/>
              <w:marRight w:val="0"/>
              <w:marTop w:val="0"/>
              <w:marBottom w:val="0"/>
              <w:divBdr>
                <w:top w:val="none" w:sz="0" w:space="0" w:color="auto"/>
                <w:left w:val="none" w:sz="0" w:space="0" w:color="auto"/>
                <w:bottom w:val="none" w:sz="0" w:space="0" w:color="auto"/>
                <w:right w:val="none" w:sz="0" w:space="0" w:color="auto"/>
              </w:divBdr>
              <w:divsChild>
                <w:div w:id="1988320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2479396">
          <w:marLeft w:val="0"/>
          <w:marRight w:val="0"/>
          <w:marTop w:val="0"/>
          <w:marBottom w:val="0"/>
          <w:divBdr>
            <w:top w:val="none" w:sz="0" w:space="0" w:color="auto"/>
            <w:left w:val="none" w:sz="0" w:space="0" w:color="auto"/>
            <w:bottom w:val="none" w:sz="0" w:space="0" w:color="auto"/>
            <w:right w:val="none" w:sz="0" w:space="0" w:color="auto"/>
          </w:divBdr>
          <w:divsChild>
            <w:div w:id="1552422119">
              <w:marLeft w:val="0"/>
              <w:marRight w:val="0"/>
              <w:marTop w:val="0"/>
              <w:marBottom w:val="0"/>
              <w:divBdr>
                <w:top w:val="none" w:sz="0" w:space="0" w:color="auto"/>
                <w:left w:val="none" w:sz="0" w:space="0" w:color="auto"/>
                <w:bottom w:val="none" w:sz="0" w:space="0" w:color="auto"/>
                <w:right w:val="none" w:sz="0" w:space="0" w:color="auto"/>
              </w:divBdr>
              <w:divsChild>
                <w:div w:id="2126001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577339">
          <w:marLeft w:val="0"/>
          <w:marRight w:val="0"/>
          <w:marTop w:val="0"/>
          <w:marBottom w:val="0"/>
          <w:divBdr>
            <w:top w:val="none" w:sz="0" w:space="0" w:color="auto"/>
            <w:left w:val="none" w:sz="0" w:space="0" w:color="auto"/>
            <w:bottom w:val="none" w:sz="0" w:space="0" w:color="auto"/>
            <w:right w:val="none" w:sz="0" w:space="0" w:color="auto"/>
          </w:divBdr>
          <w:divsChild>
            <w:div w:id="974793885">
              <w:marLeft w:val="0"/>
              <w:marRight w:val="0"/>
              <w:marTop w:val="0"/>
              <w:marBottom w:val="0"/>
              <w:divBdr>
                <w:top w:val="none" w:sz="0" w:space="0" w:color="auto"/>
                <w:left w:val="none" w:sz="0" w:space="0" w:color="auto"/>
                <w:bottom w:val="none" w:sz="0" w:space="0" w:color="auto"/>
                <w:right w:val="none" w:sz="0" w:space="0" w:color="auto"/>
              </w:divBdr>
              <w:divsChild>
                <w:div w:id="1219823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1617043">
          <w:marLeft w:val="0"/>
          <w:marRight w:val="0"/>
          <w:marTop w:val="0"/>
          <w:marBottom w:val="0"/>
          <w:divBdr>
            <w:top w:val="none" w:sz="0" w:space="0" w:color="auto"/>
            <w:left w:val="none" w:sz="0" w:space="0" w:color="auto"/>
            <w:bottom w:val="none" w:sz="0" w:space="0" w:color="auto"/>
            <w:right w:val="none" w:sz="0" w:space="0" w:color="auto"/>
          </w:divBdr>
          <w:divsChild>
            <w:div w:id="1070619380">
              <w:marLeft w:val="0"/>
              <w:marRight w:val="0"/>
              <w:marTop w:val="0"/>
              <w:marBottom w:val="0"/>
              <w:divBdr>
                <w:top w:val="none" w:sz="0" w:space="0" w:color="auto"/>
                <w:left w:val="none" w:sz="0" w:space="0" w:color="auto"/>
                <w:bottom w:val="none" w:sz="0" w:space="0" w:color="auto"/>
                <w:right w:val="none" w:sz="0" w:space="0" w:color="auto"/>
              </w:divBdr>
              <w:divsChild>
                <w:div w:id="1299770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8557731">
          <w:marLeft w:val="0"/>
          <w:marRight w:val="0"/>
          <w:marTop w:val="0"/>
          <w:marBottom w:val="0"/>
          <w:divBdr>
            <w:top w:val="none" w:sz="0" w:space="0" w:color="auto"/>
            <w:left w:val="none" w:sz="0" w:space="0" w:color="auto"/>
            <w:bottom w:val="none" w:sz="0" w:space="0" w:color="auto"/>
            <w:right w:val="none" w:sz="0" w:space="0" w:color="auto"/>
          </w:divBdr>
          <w:divsChild>
            <w:div w:id="360597841">
              <w:marLeft w:val="0"/>
              <w:marRight w:val="0"/>
              <w:marTop w:val="0"/>
              <w:marBottom w:val="0"/>
              <w:divBdr>
                <w:top w:val="none" w:sz="0" w:space="0" w:color="auto"/>
                <w:left w:val="none" w:sz="0" w:space="0" w:color="auto"/>
                <w:bottom w:val="none" w:sz="0" w:space="0" w:color="auto"/>
                <w:right w:val="none" w:sz="0" w:space="0" w:color="auto"/>
              </w:divBdr>
              <w:divsChild>
                <w:div w:id="421070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7352553">
          <w:marLeft w:val="0"/>
          <w:marRight w:val="0"/>
          <w:marTop w:val="0"/>
          <w:marBottom w:val="0"/>
          <w:divBdr>
            <w:top w:val="none" w:sz="0" w:space="0" w:color="auto"/>
            <w:left w:val="none" w:sz="0" w:space="0" w:color="auto"/>
            <w:bottom w:val="none" w:sz="0" w:space="0" w:color="auto"/>
            <w:right w:val="none" w:sz="0" w:space="0" w:color="auto"/>
          </w:divBdr>
          <w:divsChild>
            <w:div w:id="1039476902">
              <w:marLeft w:val="0"/>
              <w:marRight w:val="0"/>
              <w:marTop w:val="0"/>
              <w:marBottom w:val="0"/>
              <w:divBdr>
                <w:top w:val="none" w:sz="0" w:space="0" w:color="auto"/>
                <w:left w:val="none" w:sz="0" w:space="0" w:color="auto"/>
                <w:bottom w:val="none" w:sz="0" w:space="0" w:color="auto"/>
                <w:right w:val="none" w:sz="0" w:space="0" w:color="auto"/>
              </w:divBdr>
              <w:divsChild>
                <w:div w:id="695620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385053">
          <w:marLeft w:val="0"/>
          <w:marRight w:val="0"/>
          <w:marTop w:val="0"/>
          <w:marBottom w:val="0"/>
          <w:divBdr>
            <w:top w:val="none" w:sz="0" w:space="0" w:color="auto"/>
            <w:left w:val="none" w:sz="0" w:space="0" w:color="auto"/>
            <w:bottom w:val="none" w:sz="0" w:space="0" w:color="auto"/>
            <w:right w:val="none" w:sz="0" w:space="0" w:color="auto"/>
          </w:divBdr>
          <w:divsChild>
            <w:div w:id="920798343">
              <w:marLeft w:val="0"/>
              <w:marRight w:val="0"/>
              <w:marTop w:val="0"/>
              <w:marBottom w:val="0"/>
              <w:divBdr>
                <w:top w:val="none" w:sz="0" w:space="0" w:color="auto"/>
                <w:left w:val="none" w:sz="0" w:space="0" w:color="auto"/>
                <w:bottom w:val="none" w:sz="0" w:space="0" w:color="auto"/>
                <w:right w:val="none" w:sz="0" w:space="0" w:color="auto"/>
              </w:divBdr>
              <w:divsChild>
                <w:div w:id="8994381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552735">
          <w:marLeft w:val="0"/>
          <w:marRight w:val="0"/>
          <w:marTop w:val="0"/>
          <w:marBottom w:val="0"/>
          <w:divBdr>
            <w:top w:val="none" w:sz="0" w:space="0" w:color="auto"/>
            <w:left w:val="none" w:sz="0" w:space="0" w:color="auto"/>
            <w:bottom w:val="none" w:sz="0" w:space="0" w:color="auto"/>
            <w:right w:val="none" w:sz="0" w:space="0" w:color="auto"/>
          </w:divBdr>
          <w:divsChild>
            <w:div w:id="664287369">
              <w:marLeft w:val="0"/>
              <w:marRight w:val="0"/>
              <w:marTop w:val="0"/>
              <w:marBottom w:val="0"/>
              <w:divBdr>
                <w:top w:val="none" w:sz="0" w:space="0" w:color="auto"/>
                <w:left w:val="none" w:sz="0" w:space="0" w:color="auto"/>
                <w:bottom w:val="none" w:sz="0" w:space="0" w:color="auto"/>
                <w:right w:val="none" w:sz="0" w:space="0" w:color="auto"/>
              </w:divBdr>
              <w:divsChild>
                <w:div w:id="53745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0356693">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129089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5619401">
          <w:marLeft w:val="0"/>
          <w:marRight w:val="0"/>
          <w:marTop w:val="0"/>
          <w:marBottom w:val="0"/>
          <w:divBdr>
            <w:top w:val="none" w:sz="0" w:space="0" w:color="auto"/>
            <w:left w:val="none" w:sz="0" w:space="0" w:color="auto"/>
            <w:bottom w:val="none" w:sz="0" w:space="0" w:color="auto"/>
            <w:right w:val="none" w:sz="0" w:space="0" w:color="auto"/>
          </w:divBdr>
          <w:divsChild>
            <w:div w:id="1373307692">
              <w:marLeft w:val="0"/>
              <w:marRight w:val="0"/>
              <w:marTop w:val="0"/>
              <w:marBottom w:val="0"/>
              <w:divBdr>
                <w:top w:val="none" w:sz="0" w:space="0" w:color="auto"/>
                <w:left w:val="none" w:sz="0" w:space="0" w:color="auto"/>
                <w:bottom w:val="none" w:sz="0" w:space="0" w:color="auto"/>
                <w:right w:val="none" w:sz="0" w:space="0" w:color="auto"/>
              </w:divBdr>
              <w:divsChild>
                <w:div w:id="733771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629445">
          <w:marLeft w:val="0"/>
          <w:marRight w:val="0"/>
          <w:marTop w:val="0"/>
          <w:marBottom w:val="0"/>
          <w:divBdr>
            <w:top w:val="none" w:sz="0" w:space="0" w:color="auto"/>
            <w:left w:val="none" w:sz="0" w:space="0" w:color="auto"/>
            <w:bottom w:val="none" w:sz="0" w:space="0" w:color="auto"/>
            <w:right w:val="none" w:sz="0" w:space="0" w:color="auto"/>
          </w:divBdr>
          <w:divsChild>
            <w:div w:id="408045920">
              <w:marLeft w:val="0"/>
              <w:marRight w:val="0"/>
              <w:marTop w:val="0"/>
              <w:marBottom w:val="0"/>
              <w:divBdr>
                <w:top w:val="none" w:sz="0" w:space="0" w:color="auto"/>
                <w:left w:val="none" w:sz="0" w:space="0" w:color="auto"/>
                <w:bottom w:val="none" w:sz="0" w:space="0" w:color="auto"/>
                <w:right w:val="none" w:sz="0" w:space="0" w:color="auto"/>
              </w:divBdr>
              <w:divsChild>
                <w:div w:id="287468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3364">
      <w:bodyDiv w:val="1"/>
      <w:marLeft w:val="0"/>
      <w:marRight w:val="0"/>
      <w:marTop w:val="0"/>
      <w:marBottom w:val="0"/>
      <w:divBdr>
        <w:top w:val="none" w:sz="0" w:space="0" w:color="auto"/>
        <w:left w:val="none" w:sz="0" w:space="0" w:color="auto"/>
        <w:bottom w:val="none" w:sz="0" w:space="0" w:color="auto"/>
        <w:right w:val="none" w:sz="0" w:space="0" w:color="auto"/>
      </w:divBdr>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036762">
      <w:bodyDiv w:val="1"/>
      <w:marLeft w:val="0"/>
      <w:marRight w:val="0"/>
      <w:marTop w:val="0"/>
      <w:marBottom w:val="0"/>
      <w:divBdr>
        <w:top w:val="none" w:sz="0" w:space="0" w:color="auto"/>
        <w:left w:val="none" w:sz="0" w:space="0" w:color="auto"/>
        <w:bottom w:val="none" w:sz="0" w:space="0" w:color="auto"/>
        <w:right w:val="none" w:sz="0" w:space="0" w:color="auto"/>
      </w:divBdr>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7820950">
      <w:bodyDiv w:val="1"/>
      <w:marLeft w:val="0"/>
      <w:marRight w:val="0"/>
      <w:marTop w:val="0"/>
      <w:marBottom w:val="0"/>
      <w:divBdr>
        <w:top w:val="none" w:sz="0" w:space="0" w:color="auto"/>
        <w:left w:val="none" w:sz="0" w:space="0" w:color="auto"/>
        <w:bottom w:val="none" w:sz="0" w:space="0" w:color="auto"/>
        <w:right w:val="none" w:sz="0" w:space="0" w:color="auto"/>
      </w:divBdr>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28382478">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496804">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639875">
      <w:bodyDiv w:val="1"/>
      <w:marLeft w:val="0"/>
      <w:marRight w:val="0"/>
      <w:marTop w:val="0"/>
      <w:marBottom w:val="0"/>
      <w:divBdr>
        <w:top w:val="none" w:sz="0" w:space="0" w:color="auto"/>
        <w:left w:val="none" w:sz="0" w:space="0" w:color="auto"/>
        <w:bottom w:val="none" w:sz="0" w:space="0" w:color="auto"/>
        <w:right w:val="none" w:sz="0" w:space="0" w:color="auto"/>
      </w:divBdr>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56488">
      <w:bodyDiv w:val="1"/>
      <w:marLeft w:val="0"/>
      <w:marRight w:val="0"/>
      <w:marTop w:val="0"/>
      <w:marBottom w:val="0"/>
      <w:divBdr>
        <w:top w:val="none" w:sz="0" w:space="0" w:color="auto"/>
        <w:left w:val="none" w:sz="0" w:space="0" w:color="auto"/>
        <w:bottom w:val="none" w:sz="0" w:space="0" w:color="auto"/>
        <w:right w:val="none" w:sz="0" w:space="0" w:color="auto"/>
      </w:divBdr>
      <w:divsChild>
        <w:div w:id="574127054">
          <w:marLeft w:val="0"/>
          <w:marRight w:val="0"/>
          <w:marTop w:val="0"/>
          <w:marBottom w:val="0"/>
          <w:divBdr>
            <w:top w:val="none" w:sz="0" w:space="0" w:color="auto"/>
            <w:left w:val="none" w:sz="0" w:space="0" w:color="auto"/>
            <w:bottom w:val="none" w:sz="0" w:space="0" w:color="auto"/>
            <w:right w:val="none" w:sz="0" w:space="0" w:color="auto"/>
          </w:divBdr>
          <w:divsChild>
            <w:div w:id="1972592651">
              <w:marLeft w:val="0"/>
              <w:marRight w:val="0"/>
              <w:marTop w:val="0"/>
              <w:marBottom w:val="0"/>
              <w:divBdr>
                <w:top w:val="none" w:sz="0" w:space="0" w:color="auto"/>
                <w:left w:val="none" w:sz="0" w:space="0" w:color="auto"/>
                <w:bottom w:val="none" w:sz="0" w:space="0" w:color="auto"/>
                <w:right w:val="none" w:sz="0" w:space="0" w:color="auto"/>
              </w:divBdr>
              <w:divsChild>
                <w:div w:id="598876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9905047">
          <w:marLeft w:val="0"/>
          <w:marRight w:val="0"/>
          <w:marTop w:val="0"/>
          <w:marBottom w:val="0"/>
          <w:divBdr>
            <w:top w:val="none" w:sz="0" w:space="0" w:color="auto"/>
            <w:left w:val="none" w:sz="0" w:space="0" w:color="auto"/>
            <w:bottom w:val="none" w:sz="0" w:space="0" w:color="auto"/>
            <w:right w:val="none" w:sz="0" w:space="0" w:color="auto"/>
          </w:divBdr>
          <w:divsChild>
            <w:div w:id="1013219138">
              <w:marLeft w:val="0"/>
              <w:marRight w:val="0"/>
              <w:marTop w:val="0"/>
              <w:marBottom w:val="0"/>
              <w:divBdr>
                <w:top w:val="none" w:sz="0" w:space="0" w:color="auto"/>
                <w:left w:val="none" w:sz="0" w:space="0" w:color="auto"/>
                <w:bottom w:val="none" w:sz="0" w:space="0" w:color="auto"/>
                <w:right w:val="none" w:sz="0" w:space="0" w:color="auto"/>
              </w:divBdr>
              <w:divsChild>
                <w:div w:id="696348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5232342">
          <w:marLeft w:val="0"/>
          <w:marRight w:val="0"/>
          <w:marTop w:val="0"/>
          <w:marBottom w:val="0"/>
          <w:divBdr>
            <w:top w:val="none" w:sz="0" w:space="0" w:color="auto"/>
            <w:left w:val="none" w:sz="0" w:space="0" w:color="auto"/>
            <w:bottom w:val="none" w:sz="0" w:space="0" w:color="auto"/>
            <w:right w:val="none" w:sz="0" w:space="0" w:color="auto"/>
          </w:divBdr>
          <w:divsChild>
            <w:div w:id="998777621">
              <w:marLeft w:val="0"/>
              <w:marRight w:val="0"/>
              <w:marTop w:val="0"/>
              <w:marBottom w:val="0"/>
              <w:divBdr>
                <w:top w:val="none" w:sz="0" w:space="0" w:color="auto"/>
                <w:left w:val="none" w:sz="0" w:space="0" w:color="auto"/>
                <w:bottom w:val="none" w:sz="0" w:space="0" w:color="auto"/>
                <w:right w:val="none" w:sz="0" w:space="0" w:color="auto"/>
              </w:divBdr>
              <w:divsChild>
                <w:div w:id="8927381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5972474">
          <w:marLeft w:val="0"/>
          <w:marRight w:val="0"/>
          <w:marTop w:val="0"/>
          <w:marBottom w:val="0"/>
          <w:divBdr>
            <w:top w:val="none" w:sz="0" w:space="0" w:color="auto"/>
            <w:left w:val="none" w:sz="0" w:space="0" w:color="auto"/>
            <w:bottom w:val="none" w:sz="0" w:space="0" w:color="auto"/>
            <w:right w:val="none" w:sz="0" w:space="0" w:color="auto"/>
          </w:divBdr>
          <w:divsChild>
            <w:div w:id="1368675116">
              <w:marLeft w:val="0"/>
              <w:marRight w:val="0"/>
              <w:marTop w:val="0"/>
              <w:marBottom w:val="0"/>
              <w:divBdr>
                <w:top w:val="none" w:sz="0" w:space="0" w:color="auto"/>
                <w:left w:val="none" w:sz="0" w:space="0" w:color="auto"/>
                <w:bottom w:val="none" w:sz="0" w:space="0" w:color="auto"/>
                <w:right w:val="none" w:sz="0" w:space="0" w:color="auto"/>
              </w:divBdr>
              <w:divsChild>
                <w:div w:id="7338916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9350989">
          <w:marLeft w:val="0"/>
          <w:marRight w:val="0"/>
          <w:marTop w:val="0"/>
          <w:marBottom w:val="0"/>
          <w:divBdr>
            <w:top w:val="none" w:sz="0" w:space="0" w:color="auto"/>
            <w:left w:val="none" w:sz="0" w:space="0" w:color="auto"/>
            <w:bottom w:val="none" w:sz="0" w:space="0" w:color="auto"/>
            <w:right w:val="none" w:sz="0" w:space="0" w:color="auto"/>
          </w:divBdr>
          <w:divsChild>
            <w:div w:id="637688489">
              <w:marLeft w:val="0"/>
              <w:marRight w:val="0"/>
              <w:marTop w:val="0"/>
              <w:marBottom w:val="0"/>
              <w:divBdr>
                <w:top w:val="none" w:sz="0" w:space="0" w:color="auto"/>
                <w:left w:val="none" w:sz="0" w:space="0" w:color="auto"/>
                <w:bottom w:val="none" w:sz="0" w:space="0" w:color="auto"/>
                <w:right w:val="none" w:sz="0" w:space="0" w:color="auto"/>
              </w:divBdr>
              <w:divsChild>
                <w:div w:id="4296656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5226687">
          <w:marLeft w:val="0"/>
          <w:marRight w:val="0"/>
          <w:marTop w:val="0"/>
          <w:marBottom w:val="0"/>
          <w:divBdr>
            <w:top w:val="none" w:sz="0" w:space="0" w:color="auto"/>
            <w:left w:val="none" w:sz="0" w:space="0" w:color="auto"/>
            <w:bottom w:val="none" w:sz="0" w:space="0" w:color="auto"/>
            <w:right w:val="none" w:sz="0" w:space="0" w:color="auto"/>
          </w:divBdr>
          <w:divsChild>
            <w:div w:id="1628851861">
              <w:marLeft w:val="0"/>
              <w:marRight w:val="0"/>
              <w:marTop w:val="0"/>
              <w:marBottom w:val="0"/>
              <w:divBdr>
                <w:top w:val="none" w:sz="0" w:space="0" w:color="auto"/>
                <w:left w:val="none" w:sz="0" w:space="0" w:color="auto"/>
                <w:bottom w:val="none" w:sz="0" w:space="0" w:color="auto"/>
                <w:right w:val="none" w:sz="0" w:space="0" w:color="auto"/>
              </w:divBdr>
              <w:divsChild>
                <w:div w:id="1288049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876805">
          <w:marLeft w:val="0"/>
          <w:marRight w:val="0"/>
          <w:marTop w:val="0"/>
          <w:marBottom w:val="0"/>
          <w:divBdr>
            <w:top w:val="none" w:sz="0" w:space="0" w:color="auto"/>
            <w:left w:val="none" w:sz="0" w:space="0" w:color="auto"/>
            <w:bottom w:val="none" w:sz="0" w:space="0" w:color="auto"/>
            <w:right w:val="none" w:sz="0" w:space="0" w:color="auto"/>
          </w:divBdr>
          <w:divsChild>
            <w:div w:id="1468012845">
              <w:marLeft w:val="0"/>
              <w:marRight w:val="0"/>
              <w:marTop w:val="0"/>
              <w:marBottom w:val="0"/>
              <w:divBdr>
                <w:top w:val="none" w:sz="0" w:space="0" w:color="auto"/>
                <w:left w:val="none" w:sz="0" w:space="0" w:color="auto"/>
                <w:bottom w:val="none" w:sz="0" w:space="0" w:color="auto"/>
                <w:right w:val="none" w:sz="0" w:space="0" w:color="auto"/>
              </w:divBdr>
              <w:divsChild>
                <w:div w:id="454762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882598">
          <w:marLeft w:val="0"/>
          <w:marRight w:val="0"/>
          <w:marTop w:val="0"/>
          <w:marBottom w:val="0"/>
          <w:divBdr>
            <w:top w:val="none" w:sz="0" w:space="0" w:color="auto"/>
            <w:left w:val="none" w:sz="0" w:space="0" w:color="auto"/>
            <w:bottom w:val="none" w:sz="0" w:space="0" w:color="auto"/>
            <w:right w:val="none" w:sz="0" w:space="0" w:color="auto"/>
          </w:divBdr>
          <w:divsChild>
            <w:div w:id="1317417083">
              <w:marLeft w:val="0"/>
              <w:marRight w:val="0"/>
              <w:marTop w:val="0"/>
              <w:marBottom w:val="0"/>
              <w:divBdr>
                <w:top w:val="none" w:sz="0" w:space="0" w:color="auto"/>
                <w:left w:val="none" w:sz="0" w:space="0" w:color="auto"/>
                <w:bottom w:val="none" w:sz="0" w:space="0" w:color="auto"/>
                <w:right w:val="none" w:sz="0" w:space="0" w:color="auto"/>
              </w:divBdr>
              <w:divsChild>
                <w:div w:id="123357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3013421">
          <w:marLeft w:val="0"/>
          <w:marRight w:val="0"/>
          <w:marTop w:val="0"/>
          <w:marBottom w:val="0"/>
          <w:divBdr>
            <w:top w:val="none" w:sz="0" w:space="0" w:color="auto"/>
            <w:left w:val="none" w:sz="0" w:space="0" w:color="auto"/>
            <w:bottom w:val="none" w:sz="0" w:space="0" w:color="auto"/>
            <w:right w:val="none" w:sz="0" w:space="0" w:color="auto"/>
          </w:divBdr>
          <w:divsChild>
            <w:div w:id="101263115">
              <w:marLeft w:val="0"/>
              <w:marRight w:val="0"/>
              <w:marTop w:val="0"/>
              <w:marBottom w:val="0"/>
              <w:divBdr>
                <w:top w:val="none" w:sz="0" w:space="0" w:color="auto"/>
                <w:left w:val="none" w:sz="0" w:space="0" w:color="auto"/>
                <w:bottom w:val="none" w:sz="0" w:space="0" w:color="auto"/>
                <w:right w:val="none" w:sz="0" w:space="0" w:color="auto"/>
              </w:divBdr>
              <w:divsChild>
                <w:div w:id="888876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8938486">
          <w:marLeft w:val="0"/>
          <w:marRight w:val="0"/>
          <w:marTop w:val="0"/>
          <w:marBottom w:val="0"/>
          <w:divBdr>
            <w:top w:val="none" w:sz="0" w:space="0" w:color="auto"/>
            <w:left w:val="none" w:sz="0" w:space="0" w:color="auto"/>
            <w:bottom w:val="none" w:sz="0" w:space="0" w:color="auto"/>
            <w:right w:val="none" w:sz="0" w:space="0" w:color="auto"/>
          </w:divBdr>
          <w:divsChild>
            <w:div w:id="1345790599">
              <w:marLeft w:val="0"/>
              <w:marRight w:val="0"/>
              <w:marTop w:val="0"/>
              <w:marBottom w:val="0"/>
              <w:divBdr>
                <w:top w:val="none" w:sz="0" w:space="0" w:color="auto"/>
                <w:left w:val="none" w:sz="0" w:space="0" w:color="auto"/>
                <w:bottom w:val="none" w:sz="0" w:space="0" w:color="auto"/>
                <w:right w:val="none" w:sz="0" w:space="0" w:color="auto"/>
              </w:divBdr>
              <w:divsChild>
                <w:div w:id="640622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4046187">
          <w:marLeft w:val="0"/>
          <w:marRight w:val="0"/>
          <w:marTop w:val="0"/>
          <w:marBottom w:val="0"/>
          <w:divBdr>
            <w:top w:val="none" w:sz="0" w:space="0" w:color="auto"/>
            <w:left w:val="none" w:sz="0" w:space="0" w:color="auto"/>
            <w:bottom w:val="none" w:sz="0" w:space="0" w:color="auto"/>
            <w:right w:val="none" w:sz="0" w:space="0" w:color="auto"/>
          </w:divBdr>
          <w:divsChild>
            <w:div w:id="1569724789">
              <w:marLeft w:val="0"/>
              <w:marRight w:val="0"/>
              <w:marTop w:val="0"/>
              <w:marBottom w:val="0"/>
              <w:divBdr>
                <w:top w:val="none" w:sz="0" w:space="0" w:color="auto"/>
                <w:left w:val="none" w:sz="0" w:space="0" w:color="auto"/>
                <w:bottom w:val="none" w:sz="0" w:space="0" w:color="auto"/>
                <w:right w:val="none" w:sz="0" w:space="0" w:color="auto"/>
              </w:divBdr>
              <w:divsChild>
                <w:div w:id="568536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647124">
          <w:marLeft w:val="0"/>
          <w:marRight w:val="0"/>
          <w:marTop w:val="0"/>
          <w:marBottom w:val="0"/>
          <w:divBdr>
            <w:top w:val="none" w:sz="0" w:space="0" w:color="auto"/>
            <w:left w:val="none" w:sz="0" w:space="0" w:color="auto"/>
            <w:bottom w:val="none" w:sz="0" w:space="0" w:color="auto"/>
            <w:right w:val="none" w:sz="0" w:space="0" w:color="auto"/>
          </w:divBdr>
          <w:divsChild>
            <w:div w:id="194001326">
              <w:marLeft w:val="0"/>
              <w:marRight w:val="0"/>
              <w:marTop w:val="0"/>
              <w:marBottom w:val="0"/>
              <w:divBdr>
                <w:top w:val="none" w:sz="0" w:space="0" w:color="auto"/>
                <w:left w:val="none" w:sz="0" w:space="0" w:color="auto"/>
                <w:bottom w:val="none" w:sz="0" w:space="0" w:color="auto"/>
                <w:right w:val="none" w:sz="0" w:space="0" w:color="auto"/>
              </w:divBdr>
              <w:divsChild>
                <w:div w:id="1037588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893957">
          <w:marLeft w:val="0"/>
          <w:marRight w:val="0"/>
          <w:marTop w:val="0"/>
          <w:marBottom w:val="0"/>
          <w:divBdr>
            <w:top w:val="none" w:sz="0" w:space="0" w:color="auto"/>
            <w:left w:val="none" w:sz="0" w:space="0" w:color="auto"/>
            <w:bottom w:val="none" w:sz="0" w:space="0" w:color="auto"/>
            <w:right w:val="none" w:sz="0" w:space="0" w:color="auto"/>
          </w:divBdr>
          <w:divsChild>
            <w:div w:id="1259363605">
              <w:marLeft w:val="0"/>
              <w:marRight w:val="0"/>
              <w:marTop w:val="0"/>
              <w:marBottom w:val="0"/>
              <w:divBdr>
                <w:top w:val="none" w:sz="0" w:space="0" w:color="auto"/>
                <w:left w:val="none" w:sz="0" w:space="0" w:color="auto"/>
                <w:bottom w:val="none" w:sz="0" w:space="0" w:color="auto"/>
                <w:right w:val="none" w:sz="0" w:space="0" w:color="auto"/>
              </w:divBdr>
              <w:divsChild>
                <w:div w:id="67708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452111">
          <w:marLeft w:val="0"/>
          <w:marRight w:val="0"/>
          <w:marTop w:val="0"/>
          <w:marBottom w:val="0"/>
          <w:divBdr>
            <w:top w:val="none" w:sz="0" w:space="0" w:color="auto"/>
            <w:left w:val="none" w:sz="0" w:space="0" w:color="auto"/>
            <w:bottom w:val="none" w:sz="0" w:space="0" w:color="auto"/>
            <w:right w:val="none" w:sz="0" w:space="0" w:color="auto"/>
          </w:divBdr>
          <w:divsChild>
            <w:div w:id="1880243912">
              <w:marLeft w:val="0"/>
              <w:marRight w:val="0"/>
              <w:marTop w:val="0"/>
              <w:marBottom w:val="0"/>
              <w:divBdr>
                <w:top w:val="none" w:sz="0" w:space="0" w:color="auto"/>
                <w:left w:val="none" w:sz="0" w:space="0" w:color="auto"/>
                <w:bottom w:val="none" w:sz="0" w:space="0" w:color="auto"/>
                <w:right w:val="none" w:sz="0" w:space="0" w:color="auto"/>
              </w:divBdr>
              <w:divsChild>
                <w:div w:id="4654374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3992556">
          <w:marLeft w:val="0"/>
          <w:marRight w:val="0"/>
          <w:marTop w:val="0"/>
          <w:marBottom w:val="0"/>
          <w:divBdr>
            <w:top w:val="none" w:sz="0" w:space="0" w:color="auto"/>
            <w:left w:val="none" w:sz="0" w:space="0" w:color="auto"/>
            <w:bottom w:val="none" w:sz="0" w:space="0" w:color="auto"/>
            <w:right w:val="none" w:sz="0" w:space="0" w:color="auto"/>
          </w:divBdr>
          <w:divsChild>
            <w:div w:id="1147280581">
              <w:marLeft w:val="0"/>
              <w:marRight w:val="0"/>
              <w:marTop w:val="0"/>
              <w:marBottom w:val="0"/>
              <w:divBdr>
                <w:top w:val="none" w:sz="0" w:space="0" w:color="auto"/>
                <w:left w:val="none" w:sz="0" w:space="0" w:color="auto"/>
                <w:bottom w:val="none" w:sz="0" w:space="0" w:color="auto"/>
                <w:right w:val="none" w:sz="0" w:space="0" w:color="auto"/>
              </w:divBdr>
              <w:divsChild>
                <w:div w:id="1522159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9416232">
          <w:marLeft w:val="0"/>
          <w:marRight w:val="0"/>
          <w:marTop w:val="0"/>
          <w:marBottom w:val="0"/>
          <w:divBdr>
            <w:top w:val="none" w:sz="0" w:space="0" w:color="auto"/>
            <w:left w:val="none" w:sz="0" w:space="0" w:color="auto"/>
            <w:bottom w:val="none" w:sz="0" w:space="0" w:color="auto"/>
            <w:right w:val="none" w:sz="0" w:space="0" w:color="auto"/>
          </w:divBdr>
          <w:divsChild>
            <w:div w:id="2079789722">
              <w:marLeft w:val="0"/>
              <w:marRight w:val="0"/>
              <w:marTop w:val="0"/>
              <w:marBottom w:val="0"/>
              <w:divBdr>
                <w:top w:val="none" w:sz="0" w:space="0" w:color="auto"/>
                <w:left w:val="none" w:sz="0" w:space="0" w:color="auto"/>
                <w:bottom w:val="none" w:sz="0" w:space="0" w:color="auto"/>
                <w:right w:val="none" w:sz="0" w:space="0" w:color="auto"/>
              </w:divBdr>
              <w:divsChild>
                <w:div w:id="12000450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9666994">
          <w:marLeft w:val="0"/>
          <w:marRight w:val="0"/>
          <w:marTop w:val="0"/>
          <w:marBottom w:val="0"/>
          <w:divBdr>
            <w:top w:val="none" w:sz="0" w:space="0" w:color="auto"/>
            <w:left w:val="none" w:sz="0" w:space="0" w:color="auto"/>
            <w:bottom w:val="none" w:sz="0" w:space="0" w:color="auto"/>
            <w:right w:val="none" w:sz="0" w:space="0" w:color="auto"/>
          </w:divBdr>
          <w:divsChild>
            <w:div w:id="37360927">
              <w:marLeft w:val="0"/>
              <w:marRight w:val="0"/>
              <w:marTop w:val="0"/>
              <w:marBottom w:val="0"/>
              <w:divBdr>
                <w:top w:val="none" w:sz="0" w:space="0" w:color="auto"/>
                <w:left w:val="none" w:sz="0" w:space="0" w:color="auto"/>
                <w:bottom w:val="none" w:sz="0" w:space="0" w:color="auto"/>
                <w:right w:val="none" w:sz="0" w:space="0" w:color="auto"/>
              </w:divBdr>
              <w:divsChild>
                <w:div w:id="557787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755904">
          <w:marLeft w:val="0"/>
          <w:marRight w:val="0"/>
          <w:marTop w:val="0"/>
          <w:marBottom w:val="0"/>
          <w:divBdr>
            <w:top w:val="none" w:sz="0" w:space="0" w:color="auto"/>
            <w:left w:val="none" w:sz="0" w:space="0" w:color="auto"/>
            <w:bottom w:val="none" w:sz="0" w:space="0" w:color="auto"/>
            <w:right w:val="none" w:sz="0" w:space="0" w:color="auto"/>
          </w:divBdr>
          <w:divsChild>
            <w:div w:id="316499582">
              <w:marLeft w:val="0"/>
              <w:marRight w:val="0"/>
              <w:marTop w:val="0"/>
              <w:marBottom w:val="0"/>
              <w:divBdr>
                <w:top w:val="none" w:sz="0" w:space="0" w:color="auto"/>
                <w:left w:val="none" w:sz="0" w:space="0" w:color="auto"/>
                <w:bottom w:val="none" w:sz="0" w:space="0" w:color="auto"/>
                <w:right w:val="none" w:sz="0" w:space="0" w:color="auto"/>
              </w:divBdr>
              <w:divsChild>
                <w:div w:id="1213496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7813267">
          <w:marLeft w:val="0"/>
          <w:marRight w:val="0"/>
          <w:marTop w:val="0"/>
          <w:marBottom w:val="0"/>
          <w:divBdr>
            <w:top w:val="none" w:sz="0" w:space="0" w:color="auto"/>
            <w:left w:val="none" w:sz="0" w:space="0" w:color="auto"/>
            <w:bottom w:val="none" w:sz="0" w:space="0" w:color="auto"/>
            <w:right w:val="none" w:sz="0" w:space="0" w:color="auto"/>
          </w:divBdr>
          <w:divsChild>
            <w:div w:id="746269820">
              <w:marLeft w:val="0"/>
              <w:marRight w:val="0"/>
              <w:marTop w:val="0"/>
              <w:marBottom w:val="0"/>
              <w:divBdr>
                <w:top w:val="none" w:sz="0" w:space="0" w:color="auto"/>
                <w:left w:val="none" w:sz="0" w:space="0" w:color="auto"/>
                <w:bottom w:val="none" w:sz="0" w:space="0" w:color="auto"/>
                <w:right w:val="none" w:sz="0" w:space="0" w:color="auto"/>
              </w:divBdr>
              <w:divsChild>
                <w:div w:id="710111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0797333">
          <w:marLeft w:val="0"/>
          <w:marRight w:val="0"/>
          <w:marTop w:val="0"/>
          <w:marBottom w:val="0"/>
          <w:divBdr>
            <w:top w:val="none" w:sz="0" w:space="0" w:color="auto"/>
            <w:left w:val="none" w:sz="0" w:space="0" w:color="auto"/>
            <w:bottom w:val="none" w:sz="0" w:space="0" w:color="auto"/>
            <w:right w:val="none" w:sz="0" w:space="0" w:color="auto"/>
          </w:divBdr>
          <w:divsChild>
            <w:div w:id="1082143810">
              <w:marLeft w:val="0"/>
              <w:marRight w:val="0"/>
              <w:marTop w:val="0"/>
              <w:marBottom w:val="0"/>
              <w:divBdr>
                <w:top w:val="none" w:sz="0" w:space="0" w:color="auto"/>
                <w:left w:val="none" w:sz="0" w:space="0" w:color="auto"/>
                <w:bottom w:val="none" w:sz="0" w:space="0" w:color="auto"/>
                <w:right w:val="none" w:sz="0" w:space="0" w:color="auto"/>
              </w:divBdr>
              <w:divsChild>
                <w:div w:id="8514567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20780">
      <w:bodyDiv w:val="1"/>
      <w:marLeft w:val="0"/>
      <w:marRight w:val="0"/>
      <w:marTop w:val="0"/>
      <w:marBottom w:val="0"/>
      <w:divBdr>
        <w:top w:val="none" w:sz="0" w:space="0" w:color="auto"/>
        <w:left w:val="none" w:sz="0" w:space="0" w:color="auto"/>
        <w:bottom w:val="none" w:sz="0" w:space="0" w:color="auto"/>
        <w:right w:val="none" w:sz="0" w:space="0" w:color="auto"/>
      </w:divBdr>
      <w:divsChild>
        <w:div w:id="549534633">
          <w:marLeft w:val="0"/>
          <w:marRight w:val="0"/>
          <w:marTop w:val="0"/>
          <w:marBottom w:val="0"/>
          <w:divBdr>
            <w:top w:val="none" w:sz="0" w:space="0" w:color="auto"/>
            <w:left w:val="none" w:sz="0" w:space="0" w:color="auto"/>
            <w:bottom w:val="none" w:sz="0" w:space="0" w:color="auto"/>
            <w:right w:val="none" w:sz="0" w:space="0" w:color="auto"/>
          </w:divBdr>
          <w:divsChild>
            <w:div w:id="218443723">
              <w:marLeft w:val="0"/>
              <w:marRight w:val="0"/>
              <w:marTop w:val="0"/>
              <w:marBottom w:val="0"/>
              <w:divBdr>
                <w:top w:val="none" w:sz="0" w:space="0" w:color="auto"/>
                <w:left w:val="none" w:sz="0" w:space="0" w:color="auto"/>
                <w:bottom w:val="none" w:sz="0" w:space="0" w:color="auto"/>
                <w:right w:val="none" w:sz="0" w:space="0" w:color="auto"/>
              </w:divBdr>
              <w:divsChild>
                <w:div w:id="128473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368717">
          <w:marLeft w:val="0"/>
          <w:marRight w:val="0"/>
          <w:marTop w:val="0"/>
          <w:marBottom w:val="0"/>
          <w:divBdr>
            <w:top w:val="none" w:sz="0" w:space="0" w:color="auto"/>
            <w:left w:val="none" w:sz="0" w:space="0" w:color="auto"/>
            <w:bottom w:val="none" w:sz="0" w:space="0" w:color="auto"/>
            <w:right w:val="none" w:sz="0" w:space="0" w:color="auto"/>
          </w:divBdr>
          <w:divsChild>
            <w:div w:id="1372143968">
              <w:marLeft w:val="0"/>
              <w:marRight w:val="0"/>
              <w:marTop w:val="0"/>
              <w:marBottom w:val="0"/>
              <w:divBdr>
                <w:top w:val="none" w:sz="0" w:space="0" w:color="auto"/>
                <w:left w:val="none" w:sz="0" w:space="0" w:color="auto"/>
                <w:bottom w:val="none" w:sz="0" w:space="0" w:color="auto"/>
                <w:right w:val="none" w:sz="0" w:space="0" w:color="auto"/>
              </w:divBdr>
              <w:divsChild>
                <w:div w:id="1691950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873641">
          <w:marLeft w:val="0"/>
          <w:marRight w:val="0"/>
          <w:marTop w:val="0"/>
          <w:marBottom w:val="0"/>
          <w:divBdr>
            <w:top w:val="none" w:sz="0" w:space="0" w:color="auto"/>
            <w:left w:val="none" w:sz="0" w:space="0" w:color="auto"/>
            <w:bottom w:val="none" w:sz="0" w:space="0" w:color="auto"/>
            <w:right w:val="none" w:sz="0" w:space="0" w:color="auto"/>
          </w:divBdr>
          <w:divsChild>
            <w:div w:id="21787829">
              <w:marLeft w:val="0"/>
              <w:marRight w:val="0"/>
              <w:marTop w:val="0"/>
              <w:marBottom w:val="0"/>
              <w:divBdr>
                <w:top w:val="none" w:sz="0" w:space="0" w:color="auto"/>
                <w:left w:val="none" w:sz="0" w:space="0" w:color="auto"/>
                <w:bottom w:val="none" w:sz="0" w:space="0" w:color="auto"/>
                <w:right w:val="none" w:sz="0" w:space="0" w:color="auto"/>
              </w:divBdr>
              <w:divsChild>
                <w:div w:id="334917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456314">
          <w:marLeft w:val="0"/>
          <w:marRight w:val="0"/>
          <w:marTop w:val="0"/>
          <w:marBottom w:val="0"/>
          <w:divBdr>
            <w:top w:val="none" w:sz="0" w:space="0" w:color="auto"/>
            <w:left w:val="none" w:sz="0" w:space="0" w:color="auto"/>
            <w:bottom w:val="none" w:sz="0" w:space="0" w:color="auto"/>
            <w:right w:val="none" w:sz="0" w:space="0" w:color="auto"/>
          </w:divBdr>
          <w:divsChild>
            <w:div w:id="1938709733">
              <w:marLeft w:val="0"/>
              <w:marRight w:val="0"/>
              <w:marTop w:val="0"/>
              <w:marBottom w:val="0"/>
              <w:divBdr>
                <w:top w:val="none" w:sz="0" w:space="0" w:color="auto"/>
                <w:left w:val="none" w:sz="0" w:space="0" w:color="auto"/>
                <w:bottom w:val="none" w:sz="0" w:space="0" w:color="auto"/>
                <w:right w:val="none" w:sz="0" w:space="0" w:color="auto"/>
              </w:divBdr>
              <w:divsChild>
                <w:div w:id="1367946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357285">
          <w:marLeft w:val="0"/>
          <w:marRight w:val="0"/>
          <w:marTop w:val="0"/>
          <w:marBottom w:val="0"/>
          <w:divBdr>
            <w:top w:val="none" w:sz="0" w:space="0" w:color="auto"/>
            <w:left w:val="none" w:sz="0" w:space="0" w:color="auto"/>
            <w:bottom w:val="none" w:sz="0" w:space="0" w:color="auto"/>
            <w:right w:val="none" w:sz="0" w:space="0" w:color="auto"/>
          </w:divBdr>
          <w:divsChild>
            <w:div w:id="229318162">
              <w:marLeft w:val="0"/>
              <w:marRight w:val="0"/>
              <w:marTop w:val="0"/>
              <w:marBottom w:val="0"/>
              <w:divBdr>
                <w:top w:val="none" w:sz="0" w:space="0" w:color="auto"/>
                <w:left w:val="none" w:sz="0" w:space="0" w:color="auto"/>
                <w:bottom w:val="none" w:sz="0" w:space="0" w:color="auto"/>
                <w:right w:val="none" w:sz="0" w:space="0" w:color="auto"/>
              </w:divBdr>
              <w:divsChild>
                <w:div w:id="27984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983429">
          <w:marLeft w:val="0"/>
          <w:marRight w:val="0"/>
          <w:marTop w:val="0"/>
          <w:marBottom w:val="0"/>
          <w:divBdr>
            <w:top w:val="none" w:sz="0" w:space="0" w:color="auto"/>
            <w:left w:val="none" w:sz="0" w:space="0" w:color="auto"/>
            <w:bottom w:val="none" w:sz="0" w:space="0" w:color="auto"/>
            <w:right w:val="none" w:sz="0" w:space="0" w:color="auto"/>
          </w:divBdr>
          <w:divsChild>
            <w:div w:id="1653486552">
              <w:marLeft w:val="0"/>
              <w:marRight w:val="0"/>
              <w:marTop w:val="0"/>
              <w:marBottom w:val="0"/>
              <w:divBdr>
                <w:top w:val="none" w:sz="0" w:space="0" w:color="auto"/>
                <w:left w:val="none" w:sz="0" w:space="0" w:color="auto"/>
                <w:bottom w:val="none" w:sz="0" w:space="0" w:color="auto"/>
                <w:right w:val="none" w:sz="0" w:space="0" w:color="auto"/>
              </w:divBdr>
              <w:divsChild>
                <w:div w:id="1959412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7912739">
          <w:marLeft w:val="0"/>
          <w:marRight w:val="0"/>
          <w:marTop w:val="0"/>
          <w:marBottom w:val="0"/>
          <w:divBdr>
            <w:top w:val="none" w:sz="0" w:space="0" w:color="auto"/>
            <w:left w:val="none" w:sz="0" w:space="0" w:color="auto"/>
            <w:bottom w:val="none" w:sz="0" w:space="0" w:color="auto"/>
            <w:right w:val="none" w:sz="0" w:space="0" w:color="auto"/>
          </w:divBdr>
          <w:divsChild>
            <w:div w:id="355035201">
              <w:marLeft w:val="0"/>
              <w:marRight w:val="0"/>
              <w:marTop w:val="0"/>
              <w:marBottom w:val="0"/>
              <w:divBdr>
                <w:top w:val="none" w:sz="0" w:space="0" w:color="auto"/>
                <w:left w:val="none" w:sz="0" w:space="0" w:color="auto"/>
                <w:bottom w:val="none" w:sz="0" w:space="0" w:color="auto"/>
                <w:right w:val="none" w:sz="0" w:space="0" w:color="auto"/>
              </w:divBdr>
              <w:divsChild>
                <w:div w:id="344674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3150728">
          <w:marLeft w:val="0"/>
          <w:marRight w:val="0"/>
          <w:marTop w:val="0"/>
          <w:marBottom w:val="0"/>
          <w:divBdr>
            <w:top w:val="none" w:sz="0" w:space="0" w:color="auto"/>
            <w:left w:val="none" w:sz="0" w:space="0" w:color="auto"/>
            <w:bottom w:val="none" w:sz="0" w:space="0" w:color="auto"/>
            <w:right w:val="none" w:sz="0" w:space="0" w:color="auto"/>
          </w:divBdr>
          <w:divsChild>
            <w:div w:id="373190610">
              <w:marLeft w:val="0"/>
              <w:marRight w:val="0"/>
              <w:marTop w:val="0"/>
              <w:marBottom w:val="0"/>
              <w:divBdr>
                <w:top w:val="none" w:sz="0" w:space="0" w:color="auto"/>
                <w:left w:val="none" w:sz="0" w:space="0" w:color="auto"/>
                <w:bottom w:val="none" w:sz="0" w:space="0" w:color="auto"/>
                <w:right w:val="none" w:sz="0" w:space="0" w:color="auto"/>
              </w:divBdr>
              <w:divsChild>
                <w:div w:id="18527162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1467863">
          <w:marLeft w:val="0"/>
          <w:marRight w:val="0"/>
          <w:marTop w:val="0"/>
          <w:marBottom w:val="0"/>
          <w:divBdr>
            <w:top w:val="none" w:sz="0" w:space="0" w:color="auto"/>
            <w:left w:val="none" w:sz="0" w:space="0" w:color="auto"/>
            <w:bottom w:val="none" w:sz="0" w:space="0" w:color="auto"/>
            <w:right w:val="none" w:sz="0" w:space="0" w:color="auto"/>
          </w:divBdr>
          <w:divsChild>
            <w:div w:id="140465897">
              <w:marLeft w:val="0"/>
              <w:marRight w:val="0"/>
              <w:marTop w:val="0"/>
              <w:marBottom w:val="0"/>
              <w:divBdr>
                <w:top w:val="none" w:sz="0" w:space="0" w:color="auto"/>
                <w:left w:val="none" w:sz="0" w:space="0" w:color="auto"/>
                <w:bottom w:val="none" w:sz="0" w:space="0" w:color="auto"/>
                <w:right w:val="none" w:sz="0" w:space="0" w:color="auto"/>
              </w:divBdr>
              <w:divsChild>
                <w:div w:id="411660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016313">
          <w:marLeft w:val="0"/>
          <w:marRight w:val="0"/>
          <w:marTop w:val="0"/>
          <w:marBottom w:val="0"/>
          <w:divBdr>
            <w:top w:val="none" w:sz="0" w:space="0" w:color="auto"/>
            <w:left w:val="none" w:sz="0" w:space="0" w:color="auto"/>
            <w:bottom w:val="none" w:sz="0" w:space="0" w:color="auto"/>
            <w:right w:val="none" w:sz="0" w:space="0" w:color="auto"/>
          </w:divBdr>
          <w:divsChild>
            <w:div w:id="348606961">
              <w:marLeft w:val="0"/>
              <w:marRight w:val="0"/>
              <w:marTop w:val="0"/>
              <w:marBottom w:val="0"/>
              <w:divBdr>
                <w:top w:val="none" w:sz="0" w:space="0" w:color="auto"/>
                <w:left w:val="none" w:sz="0" w:space="0" w:color="auto"/>
                <w:bottom w:val="none" w:sz="0" w:space="0" w:color="auto"/>
                <w:right w:val="none" w:sz="0" w:space="0" w:color="auto"/>
              </w:divBdr>
              <w:divsChild>
                <w:div w:id="119842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42266">
          <w:marLeft w:val="0"/>
          <w:marRight w:val="0"/>
          <w:marTop w:val="0"/>
          <w:marBottom w:val="0"/>
          <w:divBdr>
            <w:top w:val="none" w:sz="0" w:space="0" w:color="auto"/>
            <w:left w:val="none" w:sz="0" w:space="0" w:color="auto"/>
            <w:bottom w:val="none" w:sz="0" w:space="0" w:color="auto"/>
            <w:right w:val="none" w:sz="0" w:space="0" w:color="auto"/>
          </w:divBdr>
          <w:divsChild>
            <w:div w:id="794909445">
              <w:marLeft w:val="0"/>
              <w:marRight w:val="0"/>
              <w:marTop w:val="0"/>
              <w:marBottom w:val="0"/>
              <w:divBdr>
                <w:top w:val="none" w:sz="0" w:space="0" w:color="auto"/>
                <w:left w:val="none" w:sz="0" w:space="0" w:color="auto"/>
                <w:bottom w:val="none" w:sz="0" w:space="0" w:color="auto"/>
                <w:right w:val="none" w:sz="0" w:space="0" w:color="auto"/>
              </w:divBdr>
              <w:divsChild>
                <w:div w:id="1101334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085412">
          <w:marLeft w:val="0"/>
          <w:marRight w:val="0"/>
          <w:marTop w:val="0"/>
          <w:marBottom w:val="0"/>
          <w:divBdr>
            <w:top w:val="none" w:sz="0" w:space="0" w:color="auto"/>
            <w:left w:val="none" w:sz="0" w:space="0" w:color="auto"/>
            <w:bottom w:val="none" w:sz="0" w:space="0" w:color="auto"/>
            <w:right w:val="none" w:sz="0" w:space="0" w:color="auto"/>
          </w:divBdr>
          <w:divsChild>
            <w:div w:id="1085305938">
              <w:marLeft w:val="0"/>
              <w:marRight w:val="0"/>
              <w:marTop w:val="0"/>
              <w:marBottom w:val="0"/>
              <w:divBdr>
                <w:top w:val="none" w:sz="0" w:space="0" w:color="auto"/>
                <w:left w:val="none" w:sz="0" w:space="0" w:color="auto"/>
                <w:bottom w:val="none" w:sz="0" w:space="0" w:color="auto"/>
                <w:right w:val="none" w:sz="0" w:space="0" w:color="auto"/>
              </w:divBdr>
              <w:divsChild>
                <w:div w:id="884559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9711833">
          <w:marLeft w:val="0"/>
          <w:marRight w:val="0"/>
          <w:marTop w:val="0"/>
          <w:marBottom w:val="0"/>
          <w:divBdr>
            <w:top w:val="none" w:sz="0" w:space="0" w:color="auto"/>
            <w:left w:val="none" w:sz="0" w:space="0" w:color="auto"/>
            <w:bottom w:val="none" w:sz="0" w:space="0" w:color="auto"/>
            <w:right w:val="none" w:sz="0" w:space="0" w:color="auto"/>
          </w:divBdr>
          <w:divsChild>
            <w:div w:id="1246039681">
              <w:marLeft w:val="0"/>
              <w:marRight w:val="0"/>
              <w:marTop w:val="0"/>
              <w:marBottom w:val="0"/>
              <w:divBdr>
                <w:top w:val="none" w:sz="0" w:space="0" w:color="auto"/>
                <w:left w:val="none" w:sz="0" w:space="0" w:color="auto"/>
                <w:bottom w:val="none" w:sz="0" w:space="0" w:color="auto"/>
                <w:right w:val="none" w:sz="0" w:space="0" w:color="auto"/>
              </w:divBdr>
              <w:divsChild>
                <w:div w:id="160657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17145">
          <w:marLeft w:val="0"/>
          <w:marRight w:val="0"/>
          <w:marTop w:val="0"/>
          <w:marBottom w:val="0"/>
          <w:divBdr>
            <w:top w:val="none" w:sz="0" w:space="0" w:color="auto"/>
            <w:left w:val="none" w:sz="0" w:space="0" w:color="auto"/>
            <w:bottom w:val="none" w:sz="0" w:space="0" w:color="auto"/>
            <w:right w:val="none" w:sz="0" w:space="0" w:color="auto"/>
          </w:divBdr>
          <w:divsChild>
            <w:div w:id="1975527397">
              <w:marLeft w:val="0"/>
              <w:marRight w:val="0"/>
              <w:marTop w:val="0"/>
              <w:marBottom w:val="0"/>
              <w:divBdr>
                <w:top w:val="none" w:sz="0" w:space="0" w:color="auto"/>
                <w:left w:val="none" w:sz="0" w:space="0" w:color="auto"/>
                <w:bottom w:val="none" w:sz="0" w:space="0" w:color="auto"/>
                <w:right w:val="none" w:sz="0" w:space="0" w:color="auto"/>
              </w:divBdr>
              <w:divsChild>
                <w:div w:id="116111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4685144">
          <w:marLeft w:val="0"/>
          <w:marRight w:val="0"/>
          <w:marTop w:val="0"/>
          <w:marBottom w:val="0"/>
          <w:divBdr>
            <w:top w:val="none" w:sz="0" w:space="0" w:color="auto"/>
            <w:left w:val="none" w:sz="0" w:space="0" w:color="auto"/>
            <w:bottom w:val="none" w:sz="0" w:space="0" w:color="auto"/>
            <w:right w:val="none" w:sz="0" w:space="0" w:color="auto"/>
          </w:divBdr>
          <w:divsChild>
            <w:div w:id="598874866">
              <w:marLeft w:val="0"/>
              <w:marRight w:val="0"/>
              <w:marTop w:val="0"/>
              <w:marBottom w:val="0"/>
              <w:divBdr>
                <w:top w:val="none" w:sz="0" w:space="0" w:color="auto"/>
                <w:left w:val="none" w:sz="0" w:space="0" w:color="auto"/>
                <w:bottom w:val="none" w:sz="0" w:space="0" w:color="auto"/>
                <w:right w:val="none" w:sz="0" w:space="0" w:color="auto"/>
              </w:divBdr>
              <w:divsChild>
                <w:div w:id="1653101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994852">
          <w:marLeft w:val="0"/>
          <w:marRight w:val="0"/>
          <w:marTop w:val="0"/>
          <w:marBottom w:val="0"/>
          <w:divBdr>
            <w:top w:val="none" w:sz="0" w:space="0" w:color="auto"/>
            <w:left w:val="none" w:sz="0" w:space="0" w:color="auto"/>
            <w:bottom w:val="none" w:sz="0" w:space="0" w:color="auto"/>
            <w:right w:val="none" w:sz="0" w:space="0" w:color="auto"/>
          </w:divBdr>
          <w:divsChild>
            <w:div w:id="1383210712">
              <w:marLeft w:val="0"/>
              <w:marRight w:val="0"/>
              <w:marTop w:val="0"/>
              <w:marBottom w:val="0"/>
              <w:divBdr>
                <w:top w:val="none" w:sz="0" w:space="0" w:color="auto"/>
                <w:left w:val="none" w:sz="0" w:space="0" w:color="auto"/>
                <w:bottom w:val="none" w:sz="0" w:space="0" w:color="auto"/>
                <w:right w:val="none" w:sz="0" w:space="0" w:color="auto"/>
              </w:divBdr>
              <w:divsChild>
                <w:div w:id="1907296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81601">
          <w:marLeft w:val="0"/>
          <w:marRight w:val="0"/>
          <w:marTop w:val="0"/>
          <w:marBottom w:val="0"/>
          <w:divBdr>
            <w:top w:val="none" w:sz="0" w:space="0" w:color="auto"/>
            <w:left w:val="none" w:sz="0" w:space="0" w:color="auto"/>
            <w:bottom w:val="none" w:sz="0" w:space="0" w:color="auto"/>
            <w:right w:val="none" w:sz="0" w:space="0" w:color="auto"/>
          </w:divBdr>
          <w:divsChild>
            <w:div w:id="928123511">
              <w:marLeft w:val="0"/>
              <w:marRight w:val="0"/>
              <w:marTop w:val="0"/>
              <w:marBottom w:val="0"/>
              <w:divBdr>
                <w:top w:val="none" w:sz="0" w:space="0" w:color="auto"/>
                <w:left w:val="none" w:sz="0" w:space="0" w:color="auto"/>
                <w:bottom w:val="none" w:sz="0" w:space="0" w:color="auto"/>
                <w:right w:val="none" w:sz="0" w:space="0" w:color="auto"/>
              </w:divBdr>
              <w:divsChild>
                <w:div w:id="1213810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686236">
          <w:marLeft w:val="0"/>
          <w:marRight w:val="0"/>
          <w:marTop w:val="0"/>
          <w:marBottom w:val="0"/>
          <w:divBdr>
            <w:top w:val="none" w:sz="0" w:space="0" w:color="auto"/>
            <w:left w:val="none" w:sz="0" w:space="0" w:color="auto"/>
            <w:bottom w:val="none" w:sz="0" w:space="0" w:color="auto"/>
            <w:right w:val="none" w:sz="0" w:space="0" w:color="auto"/>
          </w:divBdr>
          <w:divsChild>
            <w:div w:id="2075272615">
              <w:marLeft w:val="0"/>
              <w:marRight w:val="0"/>
              <w:marTop w:val="0"/>
              <w:marBottom w:val="0"/>
              <w:divBdr>
                <w:top w:val="none" w:sz="0" w:space="0" w:color="auto"/>
                <w:left w:val="none" w:sz="0" w:space="0" w:color="auto"/>
                <w:bottom w:val="none" w:sz="0" w:space="0" w:color="auto"/>
                <w:right w:val="none" w:sz="0" w:space="0" w:color="auto"/>
              </w:divBdr>
              <w:divsChild>
                <w:div w:id="720708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773863">
          <w:marLeft w:val="0"/>
          <w:marRight w:val="0"/>
          <w:marTop w:val="0"/>
          <w:marBottom w:val="0"/>
          <w:divBdr>
            <w:top w:val="none" w:sz="0" w:space="0" w:color="auto"/>
            <w:left w:val="none" w:sz="0" w:space="0" w:color="auto"/>
            <w:bottom w:val="none" w:sz="0" w:space="0" w:color="auto"/>
            <w:right w:val="none" w:sz="0" w:space="0" w:color="auto"/>
          </w:divBdr>
          <w:divsChild>
            <w:div w:id="1187330279">
              <w:marLeft w:val="0"/>
              <w:marRight w:val="0"/>
              <w:marTop w:val="0"/>
              <w:marBottom w:val="0"/>
              <w:divBdr>
                <w:top w:val="none" w:sz="0" w:space="0" w:color="auto"/>
                <w:left w:val="none" w:sz="0" w:space="0" w:color="auto"/>
                <w:bottom w:val="none" w:sz="0" w:space="0" w:color="auto"/>
                <w:right w:val="none" w:sz="0" w:space="0" w:color="auto"/>
              </w:divBdr>
              <w:divsChild>
                <w:div w:id="2043283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6104">
          <w:marLeft w:val="0"/>
          <w:marRight w:val="0"/>
          <w:marTop w:val="0"/>
          <w:marBottom w:val="0"/>
          <w:divBdr>
            <w:top w:val="none" w:sz="0" w:space="0" w:color="auto"/>
            <w:left w:val="none" w:sz="0" w:space="0" w:color="auto"/>
            <w:bottom w:val="none" w:sz="0" w:space="0" w:color="auto"/>
            <w:right w:val="none" w:sz="0" w:space="0" w:color="auto"/>
          </w:divBdr>
          <w:divsChild>
            <w:div w:id="1596589833">
              <w:marLeft w:val="0"/>
              <w:marRight w:val="0"/>
              <w:marTop w:val="0"/>
              <w:marBottom w:val="0"/>
              <w:divBdr>
                <w:top w:val="none" w:sz="0" w:space="0" w:color="auto"/>
                <w:left w:val="none" w:sz="0" w:space="0" w:color="auto"/>
                <w:bottom w:val="none" w:sz="0" w:space="0" w:color="auto"/>
                <w:right w:val="none" w:sz="0" w:space="0" w:color="auto"/>
              </w:divBdr>
              <w:divsChild>
                <w:div w:id="644818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997533256">
      <w:bodyDiv w:val="1"/>
      <w:marLeft w:val="0"/>
      <w:marRight w:val="0"/>
      <w:marTop w:val="0"/>
      <w:marBottom w:val="0"/>
      <w:divBdr>
        <w:top w:val="none" w:sz="0" w:space="0" w:color="auto"/>
        <w:left w:val="none" w:sz="0" w:space="0" w:color="auto"/>
        <w:bottom w:val="none" w:sz="0" w:space="0" w:color="auto"/>
        <w:right w:val="none" w:sz="0" w:space="0" w:color="auto"/>
      </w:divBdr>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690115">
      <w:bodyDiv w:val="1"/>
      <w:marLeft w:val="0"/>
      <w:marRight w:val="0"/>
      <w:marTop w:val="0"/>
      <w:marBottom w:val="0"/>
      <w:divBdr>
        <w:top w:val="none" w:sz="0" w:space="0" w:color="auto"/>
        <w:left w:val="none" w:sz="0" w:space="0" w:color="auto"/>
        <w:bottom w:val="none" w:sz="0" w:space="0" w:color="auto"/>
        <w:right w:val="none" w:sz="0" w:space="0" w:color="auto"/>
      </w:divBdr>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2680278">
      <w:bodyDiv w:val="1"/>
      <w:marLeft w:val="0"/>
      <w:marRight w:val="0"/>
      <w:marTop w:val="0"/>
      <w:marBottom w:val="0"/>
      <w:divBdr>
        <w:top w:val="none" w:sz="0" w:space="0" w:color="auto"/>
        <w:left w:val="none" w:sz="0" w:space="0" w:color="auto"/>
        <w:bottom w:val="none" w:sz="0" w:space="0" w:color="auto"/>
        <w:right w:val="none" w:sz="0" w:space="0" w:color="auto"/>
      </w:divBdr>
      <w:divsChild>
        <w:div w:id="1559197322">
          <w:marLeft w:val="0"/>
          <w:marRight w:val="0"/>
          <w:marTop w:val="0"/>
          <w:marBottom w:val="0"/>
          <w:divBdr>
            <w:top w:val="none" w:sz="0" w:space="0" w:color="auto"/>
            <w:left w:val="none" w:sz="0" w:space="0" w:color="auto"/>
            <w:bottom w:val="none" w:sz="0" w:space="0" w:color="auto"/>
            <w:right w:val="none" w:sz="0" w:space="0" w:color="auto"/>
          </w:divBdr>
          <w:divsChild>
            <w:div w:id="1622304487">
              <w:marLeft w:val="0"/>
              <w:marRight w:val="0"/>
              <w:marTop w:val="0"/>
              <w:marBottom w:val="0"/>
              <w:divBdr>
                <w:top w:val="none" w:sz="0" w:space="0" w:color="auto"/>
                <w:left w:val="none" w:sz="0" w:space="0" w:color="auto"/>
                <w:bottom w:val="none" w:sz="0" w:space="0" w:color="auto"/>
                <w:right w:val="none" w:sz="0" w:space="0" w:color="auto"/>
              </w:divBdr>
              <w:divsChild>
                <w:div w:id="11717945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2786290">
          <w:marLeft w:val="0"/>
          <w:marRight w:val="0"/>
          <w:marTop w:val="0"/>
          <w:marBottom w:val="0"/>
          <w:divBdr>
            <w:top w:val="none" w:sz="0" w:space="0" w:color="auto"/>
            <w:left w:val="none" w:sz="0" w:space="0" w:color="auto"/>
            <w:bottom w:val="none" w:sz="0" w:space="0" w:color="auto"/>
            <w:right w:val="none" w:sz="0" w:space="0" w:color="auto"/>
          </w:divBdr>
          <w:divsChild>
            <w:div w:id="1487740234">
              <w:marLeft w:val="0"/>
              <w:marRight w:val="0"/>
              <w:marTop w:val="0"/>
              <w:marBottom w:val="0"/>
              <w:divBdr>
                <w:top w:val="none" w:sz="0" w:space="0" w:color="auto"/>
                <w:left w:val="none" w:sz="0" w:space="0" w:color="auto"/>
                <w:bottom w:val="none" w:sz="0" w:space="0" w:color="auto"/>
                <w:right w:val="none" w:sz="0" w:space="0" w:color="auto"/>
              </w:divBdr>
              <w:divsChild>
                <w:div w:id="632642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378733">
          <w:marLeft w:val="0"/>
          <w:marRight w:val="0"/>
          <w:marTop w:val="0"/>
          <w:marBottom w:val="0"/>
          <w:divBdr>
            <w:top w:val="none" w:sz="0" w:space="0" w:color="auto"/>
            <w:left w:val="none" w:sz="0" w:space="0" w:color="auto"/>
            <w:bottom w:val="none" w:sz="0" w:space="0" w:color="auto"/>
            <w:right w:val="none" w:sz="0" w:space="0" w:color="auto"/>
          </w:divBdr>
          <w:divsChild>
            <w:div w:id="690111401">
              <w:marLeft w:val="0"/>
              <w:marRight w:val="0"/>
              <w:marTop w:val="0"/>
              <w:marBottom w:val="0"/>
              <w:divBdr>
                <w:top w:val="none" w:sz="0" w:space="0" w:color="auto"/>
                <w:left w:val="none" w:sz="0" w:space="0" w:color="auto"/>
                <w:bottom w:val="none" w:sz="0" w:space="0" w:color="auto"/>
                <w:right w:val="none" w:sz="0" w:space="0" w:color="auto"/>
              </w:divBdr>
              <w:divsChild>
                <w:div w:id="1296569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568772">
          <w:marLeft w:val="0"/>
          <w:marRight w:val="0"/>
          <w:marTop w:val="0"/>
          <w:marBottom w:val="0"/>
          <w:divBdr>
            <w:top w:val="none" w:sz="0" w:space="0" w:color="auto"/>
            <w:left w:val="none" w:sz="0" w:space="0" w:color="auto"/>
            <w:bottom w:val="none" w:sz="0" w:space="0" w:color="auto"/>
            <w:right w:val="none" w:sz="0" w:space="0" w:color="auto"/>
          </w:divBdr>
          <w:divsChild>
            <w:div w:id="1306860311">
              <w:marLeft w:val="0"/>
              <w:marRight w:val="0"/>
              <w:marTop w:val="0"/>
              <w:marBottom w:val="0"/>
              <w:divBdr>
                <w:top w:val="none" w:sz="0" w:space="0" w:color="auto"/>
                <w:left w:val="none" w:sz="0" w:space="0" w:color="auto"/>
                <w:bottom w:val="none" w:sz="0" w:space="0" w:color="auto"/>
                <w:right w:val="none" w:sz="0" w:space="0" w:color="auto"/>
              </w:divBdr>
              <w:divsChild>
                <w:div w:id="1920408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9054075">
          <w:marLeft w:val="0"/>
          <w:marRight w:val="0"/>
          <w:marTop w:val="0"/>
          <w:marBottom w:val="0"/>
          <w:divBdr>
            <w:top w:val="none" w:sz="0" w:space="0" w:color="auto"/>
            <w:left w:val="none" w:sz="0" w:space="0" w:color="auto"/>
            <w:bottom w:val="none" w:sz="0" w:space="0" w:color="auto"/>
            <w:right w:val="none" w:sz="0" w:space="0" w:color="auto"/>
          </w:divBdr>
          <w:divsChild>
            <w:div w:id="1495877124">
              <w:marLeft w:val="0"/>
              <w:marRight w:val="0"/>
              <w:marTop w:val="0"/>
              <w:marBottom w:val="0"/>
              <w:divBdr>
                <w:top w:val="none" w:sz="0" w:space="0" w:color="auto"/>
                <w:left w:val="none" w:sz="0" w:space="0" w:color="auto"/>
                <w:bottom w:val="none" w:sz="0" w:space="0" w:color="auto"/>
                <w:right w:val="none" w:sz="0" w:space="0" w:color="auto"/>
              </w:divBdr>
              <w:divsChild>
                <w:div w:id="119402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7759214">
          <w:marLeft w:val="0"/>
          <w:marRight w:val="0"/>
          <w:marTop w:val="0"/>
          <w:marBottom w:val="0"/>
          <w:divBdr>
            <w:top w:val="none" w:sz="0" w:space="0" w:color="auto"/>
            <w:left w:val="none" w:sz="0" w:space="0" w:color="auto"/>
            <w:bottom w:val="none" w:sz="0" w:space="0" w:color="auto"/>
            <w:right w:val="none" w:sz="0" w:space="0" w:color="auto"/>
          </w:divBdr>
          <w:divsChild>
            <w:div w:id="1875339647">
              <w:marLeft w:val="0"/>
              <w:marRight w:val="0"/>
              <w:marTop w:val="0"/>
              <w:marBottom w:val="0"/>
              <w:divBdr>
                <w:top w:val="none" w:sz="0" w:space="0" w:color="auto"/>
                <w:left w:val="none" w:sz="0" w:space="0" w:color="auto"/>
                <w:bottom w:val="none" w:sz="0" w:space="0" w:color="auto"/>
                <w:right w:val="none" w:sz="0" w:space="0" w:color="auto"/>
              </w:divBdr>
              <w:divsChild>
                <w:div w:id="689065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364440">
          <w:marLeft w:val="0"/>
          <w:marRight w:val="0"/>
          <w:marTop w:val="0"/>
          <w:marBottom w:val="0"/>
          <w:divBdr>
            <w:top w:val="none" w:sz="0" w:space="0" w:color="auto"/>
            <w:left w:val="none" w:sz="0" w:space="0" w:color="auto"/>
            <w:bottom w:val="none" w:sz="0" w:space="0" w:color="auto"/>
            <w:right w:val="none" w:sz="0" w:space="0" w:color="auto"/>
          </w:divBdr>
          <w:divsChild>
            <w:div w:id="1412923174">
              <w:marLeft w:val="0"/>
              <w:marRight w:val="0"/>
              <w:marTop w:val="0"/>
              <w:marBottom w:val="0"/>
              <w:divBdr>
                <w:top w:val="none" w:sz="0" w:space="0" w:color="auto"/>
                <w:left w:val="none" w:sz="0" w:space="0" w:color="auto"/>
                <w:bottom w:val="none" w:sz="0" w:space="0" w:color="auto"/>
                <w:right w:val="none" w:sz="0" w:space="0" w:color="auto"/>
              </w:divBdr>
              <w:divsChild>
                <w:div w:id="18141329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0694419">
          <w:marLeft w:val="0"/>
          <w:marRight w:val="0"/>
          <w:marTop w:val="0"/>
          <w:marBottom w:val="0"/>
          <w:divBdr>
            <w:top w:val="none" w:sz="0" w:space="0" w:color="auto"/>
            <w:left w:val="none" w:sz="0" w:space="0" w:color="auto"/>
            <w:bottom w:val="none" w:sz="0" w:space="0" w:color="auto"/>
            <w:right w:val="none" w:sz="0" w:space="0" w:color="auto"/>
          </w:divBdr>
          <w:divsChild>
            <w:div w:id="1109351688">
              <w:marLeft w:val="0"/>
              <w:marRight w:val="0"/>
              <w:marTop w:val="0"/>
              <w:marBottom w:val="0"/>
              <w:divBdr>
                <w:top w:val="none" w:sz="0" w:space="0" w:color="auto"/>
                <w:left w:val="none" w:sz="0" w:space="0" w:color="auto"/>
                <w:bottom w:val="none" w:sz="0" w:space="0" w:color="auto"/>
                <w:right w:val="none" w:sz="0" w:space="0" w:color="auto"/>
              </w:divBdr>
              <w:divsChild>
                <w:div w:id="1603493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1506215">
          <w:marLeft w:val="0"/>
          <w:marRight w:val="0"/>
          <w:marTop w:val="0"/>
          <w:marBottom w:val="0"/>
          <w:divBdr>
            <w:top w:val="none" w:sz="0" w:space="0" w:color="auto"/>
            <w:left w:val="none" w:sz="0" w:space="0" w:color="auto"/>
            <w:bottom w:val="none" w:sz="0" w:space="0" w:color="auto"/>
            <w:right w:val="none" w:sz="0" w:space="0" w:color="auto"/>
          </w:divBdr>
          <w:divsChild>
            <w:div w:id="1880168903">
              <w:marLeft w:val="0"/>
              <w:marRight w:val="0"/>
              <w:marTop w:val="0"/>
              <w:marBottom w:val="0"/>
              <w:divBdr>
                <w:top w:val="none" w:sz="0" w:space="0" w:color="auto"/>
                <w:left w:val="none" w:sz="0" w:space="0" w:color="auto"/>
                <w:bottom w:val="none" w:sz="0" w:space="0" w:color="auto"/>
                <w:right w:val="none" w:sz="0" w:space="0" w:color="auto"/>
              </w:divBdr>
              <w:divsChild>
                <w:div w:id="254553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6446698">
          <w:marLeft w:val="0"/>
          <w:marRight w:val="0"/>
          <w:marTop w:val="0"/>
          <w:marBottom w:val="0"/>
          <w:divBdr>
            <w:top w:val="none" w:sz="0" w:space="0" w:color="auto"/>
            <w:left w:val="none" w:sz="0" w:space="0" w:color="auto"/>
            <w:bottom w:val="none" w:sz="0" w:space="0" w:color="auto"/>
            <w:right w:val="none" w:sz="0" w:space="0" w:color="auto"/>
          </w:divBdr>
          <w:divsChild>
            <w:div w:id="797842076">
              <w:marLeft w:val="0"/>
              <w:marRight w:val="0"/>
              <w:marTop w:val="0"/>
              <w:marBottom w:val="0"/>
              <w:divBdr>
                <w:top w:val="none" w:sz="0" w:space="0" w:color="auto"/>
                <w:left w:val="none" w:sz="0" w:space="0" w:color="auto"/>
                <w:bottom w:val="none" w:sz="0" w:space="0" w:color="auto"/>
                <w:right w:val="none" w:sz="0" w:space="0" w:color="auto"/>
              </w:divBdr>
              <w:divsChild>
                <w:div w:id="1058018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9053948">
          <w:marLeft w:val="0"/>
          <w:marRight w:val="0"/>
          <w:marTop w:val="0"/>
          <w:marBottom w:val="0"/>
          <w:divBdr>
            <w:top w:val="none" w:sz="0" w:space="0" w:color="auto"/>
            <w:left w:val="none" w:sz="0" w:space="0" w:color="auto"/>
            <w:bottom w:val="none" w:sz="0" w:space="0" w:color="auto"/>
            <w:right w:val="none" w:sz="0" w:space="0" w:color="auto"/>
          </w:divBdr>
          <w:divsChild>
            <w:div w:id="398015487">
              <w:marLeft w:val="0"/>
              <w:marRight w:val="0"/>
              <w:marTop w:val="0"/>
              <w:marBottom w:val="0"/>
              <w:divBdr>
                <w:top w:val="none" w:sz="0" w:space="0" w:color="auto"/>
                <w:left w:val="none" w:sz="0" w:space="0" w:color="auto"/>
                <w:bottom w:val="none" w:sz="0" w:space="0" w:color="auto"/>
                <w:right w:val="none" w:sz="0" w:space="0" w:color="auto"/>
              </w:divBdr>
              <w:divsChild>
                <w:div w:id="16644310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2754349">
          <w:marLeft w:val="0"/>
          <w:marRight w:val="0"/>
          <w:marTop w:val="0"/>
          <w:marBottom w:val="0"/>
          <w:divBdr>
            <w:top w:val="none" w:sz="0" w:space="0" w:color="auto"/>
            <w:left w:val="none" w:sz="0" w:space="0" w:color="auto"/>
            <w:bottom w:val="none" w:sz="0" w:space="0" w:color="auto"/>
            <w:right w:val="none" w:sz="0" w:space="0" w:color="auto"/>
          </w:divBdr>
          <w:divsChild>
            <w:div w:id="2012564175">
              <w:marLeft w:val="0"/>
              <w:marRight w:val="0"/>
              <w:marTop w:val="0"/>
              <w:marBottom w:val="0"/>
              <w:divBdr>
                <w:top w:val="none" w:sz="0" w:space="0" w:color="auto"/>
                <w:left w:val="none" w:sz="0" w:space="0" w:color="auto"/>
                <w:bottom w:val="none" w:sz="0" w:space="0" w:color="auto"/>
                <w:right w:val="none" w:sz="0" w:space="0" w:color="auto"/>
              </w:divBdr>
              <w:divsChild>
                <w:div w:id="1980642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1886146">
          <w:marLeft w:val="0"/>
          <w:marRight w:val="0"/>
          <w:marTop w:val="0"/>
          <w:marBottom w:val="0"/>
          <w:divBdr>
            <w:top w:val="none" w:sz="0" w:space="0" w:color="auto"/>
            <w:left w:val="none" w:sz="0" w:space="0" w:color="auto"/>
            <w:bottom w:val="none" w:sz="0" w:space="0" w:color="auto"/>
            <w:right w:val="none" w:sz="0" w:space="0" w:color="auto"/>
          </w:divBdr>
          <w:divsChild>
            <w:div w:id="347677635">
              <w:marLeft w:val="0"/>
              <w:marRight w:val="0"/>
              <w:marTop w:val="0"/>
              <w:marBottom w:val="0"/>
              <w:divBdr>
                <w:top w:val="none" w:sz="0" w:space="0" w:color="auto"/>
                <w:left w:val="none" w:sz="0" w:space="0" w:color="auto"/>
                <w:bottom w:val="none" w:sz="0" w:space="0" w:color="auto"/>
                <w:right w:val="none" w:sz="0" w:space="0" w:color="auto"/>
              </w:divBdr>
              <w:divsChild>
                <w:div w:id="1938100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5223025">
          <w:marLeft w:val="0"/>
          <w:marRight w:val="0"/>
          <w:marTop w:val="0"/>
          <w:marBottom w:val="0"/>
          <w:divBdr>
            <w:top w:val="none" w:sz="0" w:space="0" w:color="auto"/>
            <w:left w:val="none" w:sz="0" w:space="0" w:color="auto"/>
            <w:bottom w:val="none" w:sz="0" w:space="0" w:color="auto"/>
            <w:right w:val="none" w:sz="0" w:space="0" w:color="auto"/>
          </w:divBdr>
          <w:divsChild>
            <w:div w:id="179396584">
              <w:marLeft w:val="0"/>
              <w:marRight w:val="0"/>
              <w:marTop w:val="0"/>
              <w:marBottom w:val="0"/>
              <w:divBdr>
                <w:top w:val="none" w:sz="0" w:space="0" w:color="auto"/>
                <w:left w:val="none" w:sz="0" w:space="0" w:color="auto"/>
                <w:bottom w:val="none" w:sz="0" w:space="0" w:color="auto"/>
                <w:right w:val="none" w:sz="0" w:space="0" w:color="auto"/>
              </w:divBdr>
              <w:divsChild>
                <w:div w:id="127520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6512629">
          <w:marLeft w:val="0"/>
          <w:marRight w:val="0"/>
          <w:marTop w:val="0"/>
          <w:marBottom w:val="0"/>
          <w:divBdr>
            <w:top w:val="none" w:sz="0" w:space="0" w:color="auto"/>
            <w:left w:val="none" w:sz="0" w:space="0" w:color="auto"/>
            <w:bottom w:val="none" w:sz="0" w:space="0" w:color="auto"/>
            <w:right w:val="none" w:sz="0" w:space="0" w:color="auto"/>
          </w:divBdr>
          <w:divsChild>
            <w:div w:id="1133714135">
              <w:marLeft w:val="0"/>
              <w:marRight w:val="0"/>
              <w:marTop w:val="0"/>
              <w:marBottom w:val="0"/>
              <w:divBdr>
                <w:top w:val="none" w:sz="0" w:space="0" w:color="auto"/>
                <w:left w:val="none" w:sz="0" w:space="0" w:color="auto"/>
                <w:bottom w:val="none" w:sz="0" w:space="0" w:color="auto"/>
                <w:right w:val="none" w:sz="0" w:space="0" w:color="auto"/>
              </w:divBdr>
              <w:divsChild>
                <w:div w:id="1992708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2487476">
          <w:marLeft w:val="0"/>
          <w:marRight w:val="0"/>
          <w:marTop w:val="0"/>
          <w:marBottom w:val="0"/>
          <w:divBdr>
            <w:top w:val="none" w:sz="0" w:space="0" w:color="auto"/>
            <w:left w:val="none" w:sz="0" w:space="0" w:color="auto"/>
            <w:bottom w:val="none" w:sz="0" w:space="0" w:color="auto"/>
            <w:right w:val="none" w:sz="0" w:space="0" w:color="auto"/>
          </w:divBdr>
          <w:divsChild>
            <w:div w:id="1479028239">
              <w:marLeft w:val="0"/>
              <w:marRight w:val="0"/>
              <w:marTop w:val="0"/>
              <w:marBottom w:val="0"/>
              <w:divBdr>
                <w:top w:val="none" w:sz="0" w:space="0" w:color="auto"/>
                <w:left w:val="none" w:sz="0" w:space="0" w:color="auto"/>
                <w:bottom w:val="none" w:sz="0" w:space="0" w:color="auto"/>
                <w:right w:val="none" w:sz="0" w:space="0" w:color="auto"/>
              </w:divBdr>
              <w:divsChild>
                <w:div w:id="12684661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543856">
          <w:marLeft w:val="0"/>
          <w:marRight w:val="0"/>
          <w:marTop w:val="0"/>
          <w:marBottom w:val="0"/>
          <w:divBdr>
            <w:top w:val="none" w:sz="0" w:space="0" w:color="auto"/>
            <w:left w:val="none" w:sz="0" w:space="0" w:color="auto"/>
            <w:bottom w:val="none" w:sz="0" w:space="0" w:color="auto"/>
            <w:right w:val="none" w:sz="0" w:space="0" w:color="auto"/>
          </w:divBdr>
          <w:divsChild>
            <w:div w:id="1048266453">
              <w:marLeft w:val="0"/>
              <w:marRight w:val="0"/>
              <w:marTop w:val="0"/>
              <w:marBottom w:val="0"/>
              <w:divBdr>
                <w:top w:val="none" w:sz="0" w:space="0" w:color="auto"/>
                <w:left w:val="none" w:sz="0" w:space="0" w:color="auto"/>
                <w:bottom w:val="none" w:sz="0" w:space="0" w:color="auto"/>
                <w:right w:val="none" w:sz="0" w:space="0" w:color="auto"/>
              </w:divBdr>
              <w:divsChild>
                <w:div w:id="12389065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3345869">
          <w:marLeft w:val="0"/>
          <w:marRight w:val="0"/>
          <w:marTop w:val="0"/>
          <w:marBottom w:val="0"/>
          <w:divBdr>
            <w:top w:val="none" w:sz="0" w:space="0" w:color="auto"/>
            <w:left w:val="none" w:sz="0" w:space="0" w:color="auto"/>
            <w:bottom w:val="none" w:sz="0" w:space="0" w:color="auto"/>
            <w:right w:val="none" w:sz="0" w:space="0" w:color="auto"/>
          </w:divBdr>
          <w:divsChild>
            <w:div w:id="128473370">
              <w:marLeft w:val="0"/>
              <w:marRight w:val="0"/>
              <w:marTop w:val="0"/>
              <w:marBottom w:val="0"/>
              <w:divBdr>
                <w:top w:val="none" w:sz="0" w:space="0" w:color="auto"/>
                <w:left w:val="none" w:sz="0" w:space="0" w:color="auto"/>
                <w:bottom w:val="none" w:sz="0" w:space="0" w:color="auto"/>
                <w:right w:val="none" w:sz="0" w:space="0" w:color="auto"/>
              </w:divBdr>
              <w:divsChild>
                <w:div w:id="880676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1253408">
          <w:marLeft w:val="0"/>
          <w:marRight w:val="0"/>
          <w:marTop w:val="0"/>
          <w:marBottom w:val="0"/>
          <w:divBdr>
            <w:top w:val="none" w:sz="0" w:space="0" w:color="auto"/>
            <w:left w:val="none" w:sz="0" w:space="0" w:color="auto"/>
            <w:bottom w:val="none" w:sz="0" w:space="0" w:color="auto"/>
            <w:right w:val="none" w:sz="0" w:space="0" w:color="auto"/>
          </w:divBdr>
          <w:divsChild>
            <w:div w:id="1880623870">
              <w:marLeft w:val="0"/>
              <w:marRight w:val="0"/>
              <w:marTop w:val="0"/>
              <w:marBottom w:val="0"/>
              <w:divBdr>
                <w:top w:val="none" w:sz="0" w:space="0" w:color="auto"/>
                <w:left w:val="none" w:sz="0" w:space="0" w:color="auto"/>
                <w:bottom w:val="none" w:sz="0" w:space="0" w:color="auto"/>
                <w:right w:val="none" w:sz="0" w:space="0" w:color="auto"/>
              </w:divBdr>
              <w:divsChild>
                <w:div w:id="69627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5550470">
      <w:bodyDiv w:val="1"/>
      <w:marLeft w:val="0"/>
      <w:marRight w:val="0"/>
      <w:marTop w:val="0"/>
      <w:marBottom w:val="0"/>
      <w:divBdr>
        <w:top w:val="none" w:sz="0" w:space="0" w:color="auto"/>
        <w:left w:val="none" w:sz="0" w:space="0" w:color="auto"/>
        <w:bottom w:val="none" w:sz="0" w:space="0" w:color="auto"/>
        <w:right w:val="none" w:sz="0" w:space="0" w:color="auto"/>
      </w:divBdr>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4718282">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1625">
      <w:bodyDiv w:val="1"/>
      <w:marLeft w:val="0"/>
      <w:marRight w:val="0"/>
      <w:marTop w:val="0"/>
      <w:marBottom w:val="0"/>
      <w:divBdr>
        <w:top w:val="none" w:sz="0" w:space="0" w:color="auto"/>
        <w:left w:val="none" w:sz="0" w:space="0" w:color="auto"/>
        <w:bottom w:val="none" w:sz="0" w:space="0" w:color="auto"/>
        <w:right w:val="none" w:sz="0" w:space="0" w:color="auto"/>
      </w:divBdr>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290">
      <w:bodyDiv w:val="1"/>
      <w:marLeft w:val="0"/>
      <w:marRight w:val="0"/>
      <w:marTop w:val="0"/>
      <w:marBottom w:val="0"/>
      <w:divBdr>
        <w:top w:val="none" w:sz="0" w:space="0" w:color="auto"/>
        <w:left w:val="none" w:sz="0" w:space="0" w:color="auto"/>
        <w:bottom w:val="none" w:sz="0" w:space="0" w:color="auto"/>
        <w:right w:val="none" w:sz="0" w:space="0" w:color="auto"/>
      </w:divBdr>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590451">
      <w:bodyDiv w:val="1"/>
      <w:marLeft w:val="0"/>
      <w:marRight w:val="0"/>
      <w:marTop w:val="0"/>
      <w:marBottom w:val="0"/>
      <w:divBdr>
        <w:top w:val="none" w:sz="0" w:space="0" w:color="auto"/>
        <w:left w:val="none" w:sz="0" w:space="0" w:color="auto"/>
        <w:bottom w:val="none" w:sz="0" w:space="0" w:color="auto"/>
        <w:right w:val="none" w:sz="0" w:space="0" w:color="auto"/>
      </w:divBdr>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86086">
      <w:bodyDiv w:val="1"/>
      <w:marLeft w:val="0"/>
      <w:marRight w:val="0"/>
      <w:marTop w:val="0"/>
      <w:marBottom w:val="0"/>
      <w:divBdr>
        <w:top w:val="none" w:sz="0" w:space="0" w:color="auto"/>
        <w:left w:val="none" w:sz="0" w:space="0" w:color="auto"/>
        <w:bottom w:val="none" w:sz="0" w:space="0" w:color="auto"/>
        <w:right w:val="none" w:sz="0" w:space="0" w:color="auto"/>
      </w:divBdr>
      <w:divsChild>
        <w:div w:id="561869437">
          <w:marLeft w:val="0"/>
          <w:marRight w:val="0"/>
          <w:marTop w:val="0"/>
          <w:marBottom w:val="0"/>
          <w:divBdr>
            <w:top w:val="none" w:sz="0" w:space="0" w:color="auto"/>
            <w:left w:val="none" w:sz="0" w:space="0" w:color="auto"/>
            <w:bottom w:val="none" w:sz="0" w:space="0" w:color="auto"/>
            <w:right w:val="none" w:sz="0" w:space="0" w:color="auto"/>
          </w:divBdr>
          <w:divsChild>
            <w:div w:id="1109351521">
              <w:marLeft w:val="0"/>
              <w:marRight w:val="0"/>
              <w:marTop w:val="0"/>
              <w:marBottom w:val="0"/>
              <w:divBdr>
                <w:top w:val="none" w:sz="0" w:space="0" w:color="auto"/>
                <w:left w:val="none" w:sz="0" w:space="0" w:color="auto"/>
                <w:bottom w:val="none" w:sz="0" w:space="0" w:color="auto"/>
                <w:right w:val="none" w:sz="0" w:space="0" w:color="auto"/>
              </w:divBdr>
              <w:divsChild>
                <w:div w:id="65537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845063">
          <w:marLeft w:val="0"/>
          <w:marRight w:val="0"/>
          <w:marTop w:val="0"/>
          <w:marBottom w:val="0"/>
          <w:divBdr>
            <w:top w:val="none" w:sz="0" w:space="0" w:color="auto"/>
            <w:left w:val="none" w:sz="0" w:space="0" w:color="auto"/>
            <w:bottom w:val="none" w:sz="0" w:space="0" w:color="auto"/>
            <w:right w:val="none" w:sz="0" w:space="0" w:color="auto"/>
          </w:divBdr>
          <w:divsChild>
            <w:div w:id="926502826">
              <w:marLeft w:val="0"/>
              <w:marRight w:val="0"/>
              <w:marTop w:val="0"/>
              <w:marBottom w:val="0"/>
              <w:divBdr>
                <w:top w:val="none" w:sz="0" w:space="0" w:color="auto"/>
                <w:left w:val="none" w:sz="0" w:space="0" w:color="auto"/>
                <w:bottom w:val="none" w:sz="0" w:space="0" w:color="auto"/>
                <w:right w:val="none" w:sz="0" w:space="0" w:color="auto"/>
              </w:divBdr>
              <w:divsChild>
                <w:div w:id="1184127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433439">
          <w:marLeft w:val="0"/>
          <w:marRight w:val="0"/>
          <w:marTop w:val="0"/>
          <w:marBottom w:val="0"/>
          <w:divBdr>
            <w:top w:val="none" w:sz="0" w:space="0" w:color="auto"/>
            <w:left w:val="none" w:sz="0" w:space="0" w:color="auto"/>
            <w:bottom w:val="none" w:sz="0" w:space="0" w:color="auto"/>
            <w:right w:val="none" w:sz="0" w:space="0" w:color="auto"/>
          </w:divBdr>
          <w:divsChild>
            <w:div w:id="2100829664">
              <w:marLeft w:val="0"/>
              <w:marRight w:val="0"/>
              <w:marTop w:val="0"/>
              <w:marBottom w:val="0"/>
              <w:divBdr>
                <w:top w:val="none" w:sz="0" w:space="0" w:color="auto"/>
                <w:left w:val="none" w:sz="0" w:space="0" w:color="auto"/>
                <w:bottom w:val="none" w:sz="0" w:space="0" w:color="auto"/>
                <w:right w:val="none" w:sz="0" w:space="0" w:color="auto"/>
              </w:divBdr>
              <w:divsChild>
                <w:div w:id="3283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4459025">
          <w:marLeft w:val="0"/>
          <w:marRight w:val="0"/>
          <w:marTop w:val="0"/>
          <w:marBottom w:val="0"/>
          <w:divBdr>
            <w:top w:val="none" w:sz="0" w:space="0" w:color="auto"/>
            <w:left w:val="none" w:sz="0" w:space="0" w:color="auto"/>
            <w:bottom w:val="none" w:sz="0" w:space="0" w:color="auto"/>
            <w:right w:val="none" w:sz="0" w:space="0" w:color="auto"/>
          </w:divBdr>
          <w:divsChild>
            <w:div w:id="91316833">
              <w:marLeft w:val="0"/>
              <w:marRight w:val="0"/>
              <w:marTop w:val="0"/>
              <w:marBottom w:val="0"/>
              <w:divBdr>
                <w:top w:val="none" w:sz="0" w:space="0" w:color="auto"/>
                <w:left w:val="none" w:sz="0" w:space="0" w:color="auto"/>
                <w:bottom w:val="none" w:sz="0" w:space="0" w:color="auto"/>
                <w:right w:val="none" w:sz="0" w:space="0" w:color="auto"/>
              </w:divBdr>
              <w:divsChild>
                <w:div w:id="15324508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5121050">
          <w:marLeft w:val="0"/>
          <w:marRight w:val="0"/>
          <w:marTop w:val="0"/>
          <w:marBottom w:val="0"/>
          <w:divBdr>
            <w:top w:val="none" w:sz="0" w:space="0" w:color="auto"/>
            <w:left w:val="none" w:sz="0" w:space="0" w:color="auto"/>
            <w:bottom w:val="none" w:sz="0" w:space="0" w:color="auto"/>
            <w:right w:val="none" w:sz="0" w:space="0" w:color="auto"/>
          </w:divBdr>
          <w:divsChild>
            <w:div w:id="1011762070">
              <w:marLeft w:val="0"/>
              <w:marRight w:val="0"/>
              <w:marTop w:val="0"/>
              <w:marBottom w:val="0"/>
              <w:divBdr>
                <w:top w:val="none" w:sz="0" w:space="0" w:color="auto"/>
                <w:left w:val="none" w:sz="0" w:space="0" w:color="auto"/>
                <w:bottom w:val="none" w:sz="0" w:space="0" w:color="auto"/>
                <w:right w:val="none" w:sz="0" w:space="0" w:color="auto"/>
              </w:divBdr>
              <w:divsChild>
                <w:div w:id="18453151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1123029">
          <w:marLeft w:val="0"/>
          <w:marRight w:val="0"/>
          <w:marTop w:val="0"/>
          <w:marBottom w:val="0"/>
          <w:divBdr>
            <w:top w:val="none" w:sz="0" w:space="0" w:color="auto"/>
            <w:left w:val="none" w:sz="0" w:space="0" w:color="auto"/>
            <w:bottom w:val="none" w:sz="0" w:space="0" w:color="auto"/>
            <w:right w:val="none" w:sz="0" w:space="0" w:color="auto"/>
          </w:divBdr>
          <w:divsChild>
            <w:div w:id="475419189">
              <w:marLeft w:val="0"/>
              <w:marRight w:val="0"/>
              <w:marTop w:val="0"/>
              <w:marBottom w:val="0"/>
              <w:divBdr>
                <w:top w:val="none" w:sz="0" w:space="0" w:color="auto"/>
                <w:left w:val="none" w:sz="0" w:space="0" w:color="auto"/>
                <w:bottom w:val="none" w:sz="0" w:space="0" w:color="auto"/>
                <w:right w:val="none" w:sz="0" w:space="0" w:color="auto"/>
              </w:divBdr>
              <w:divsChild>
                <w:div w:id="329336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03364430">
          <w:marLeft w:val="0"/>
          <w:marRight w:val="0"/>
          <w:marTop w:val="0"/>
          <w:marBottom w:val="0"/>
          <w:divBdr>
            <w:top w:val="none" w:sz="0" w:space="0" w:color="auto"/>
            <w:left w:val="none" w:sz="0" w:space="0" w:color="auto"/>
            <w:bottom w:val="none" w:sz="0" w:space="0" w:color="auto"/>
            <w:right w:val="none" w:sz="0" w:space="0" w:color="auto"/>
          </w:divBdr>
          <w:divsChild>
            <w:div w:id="2094233566">
              <w:marLeft w:val="0"/>
              <w:marRight w:val="0"/>
              <w:marTop w:val="0"/>
              <w:marBottom w:val="0"/>
              <w:divBdr>
                <w:top w:val="none" w:sz="0" w:space="0" w:color="auto"/>
                <w:left w:val="none" w:sz="0" w:space="0" w:color="auto"/>
                <w:bottom w:val="none" w:sz="0" w:space="0" w:color="auto"/>
                <w:right w:val="none" w:sz="0" w:space="0" w:color="auto"/>
              </w:divBdr>
              <w:divsChild>
                <w:div w:id="1907253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6577875">
          <w:marLeft w:val="0"/>
          <w:marRight w:val="0"/>
          <w:marTop w:val="0"/>
          <w:marBottom w:val="0"/>
          <w:divBdr>
            <w:top w:val="none" w:sz="0" w:space="0" w:color="auto"/>
            <w:left w:val="none" w:sz="0" w:space="0" w:color="auto"/>
            <w:bottom w:val="none" w:sz="0" w:space="0" w:color="auto"/>
            <w:right w:val="none" w:sz="0" w:space="0" w:color="auto"/>
          </w:divBdr>
          <w:divsChild>
            <w:div w:id="2006474150">
              <w:marLeft w:val="0"/>
              <w:marRight w:val="0"/>
              <w:marTop w:val="0"/>
              <w:marBottom w:val="0"/>
              <w:divBdr>
                <w:top w:val="none" w:sz="0" w:space="0" w:color="auto"/>
                <w:left w:val="none" w:sz="0" w:space="0" w:color="auto"/>
                <w:bottom w:val="none" w:sz="0" w:space="0" w:color="auto"/>
                <w:right w:val="none" w:sz="0" w:space="0" w:color="auto"/>
              </w:divBdr>
              <w:divsChild>
                <w:div w:id="8732740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1223563">
          <w:marLeft w:val="0"/>
          <w:marRight w:val="0"/>
          <w:marTop w:val="0"/>
          <w:marBottom w:val="0"/>
          <w:divBdr>
            <w:top w:val="none" w:sz="0" w:space="0" w:color="auto"/>
            <w:left w:val="none" w:sz="0" w:space="0" w:color="auto"/>
            <w:bottom w:val="none" w:sz="0" w:space="0" w:color="auto"/>
            <w:right w:val="none" w:sz="0" w:space="0" w:color="auto"/>
          </w:divBdr>
          <w:divsChild>
            <w:div w:id="979043863">
              <w:marLeft w:val="0"/>
              <w:marRight w:val="0"/>
              <w:marTop w:val="0"/>
              <w:marBottom w:val="0"/>
              <w:divBdr>
                <w:top w:val="none" w:sz="0" w:space="0" w:color="auto"/>
                <w:left w:val="none" w:sz="0" w:space="0" w:color="auto"/>
                <w:bottom w:val="none" w:sz="0" w:space="0" w:color="auto"/>
                <w:right w:val="none" w:sz="0" w:space="0" w:color="auto"/>
              </w:divBdr>
              <w:divsChild>
                <w:div w:id="1082146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6674241">
          <w:marLeft w:val="0"/>
          <w:marRight w:val="0"/>
          <w:marTop w:val="0"/>
          <w:marBottom w:val="0"/>
          <w:divBdr>
            <w:top w:val="none" w:sz="0" w:space="0" w:color="auto"/>
            <w:left w:val="none" w:sz="0" w:space="0" w:color="auto"/>
            <w:bottom w:val="none" w:sz="0" w:space="0" w:color="auto"/>
            <w:right w:val="none" w:sz="0" w:space="0" w:color="auto"/>
          </w:divBdr>
          <w:divsChild>
            <w:div w:id="1689678757">
              <w:marLeft w:val="0"/>
              <w:marRight w:val="0"/>
              <w:marTop w:val="0"/>
              <w:marBottom w:val="0"/>
              <w:divBdr>
                <w:top w:val="none" w:sz="0" w:space="0" w:color="auto"/>
                <w:left w:val="none" w:sz="0" w:space="0" w:color="auto"/>
                <w:bottom w:val="none" w:sz="0" w:space="0" w:color="auto"/>
                <w:right w:val="none" w:sz="0" w:space="0" w:color="auto"/>
              </w:divBdr>
              <w:divsChild>
                <w:div w:id="19873900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373030">
          <w:marLeft w:val="0"/>
          <w:marRight w:val="0"/>
          <w:marTop w:val="0"/>
          <w:marBottom w:val="0"/>
          <w:divBdr>
            <w:top w:val="none" w:sz="0" w:space="0" w:color="auto"/>
            <w:left w:val="none" w:sz="0" w:space="0" w:color="auto"/>
            <w:bottom w:val="none" w:sz="0" w:space="0" w:color="auto"/>
            <w:right w:val="none" w:sz="0" w:space="0" w:color="auto"/>
          </w:divBdr>
          <w:divsChild>
            <w:div w:id="1158376767">
              <w:marLeft w:val="0"/>
              <w:marRight w:val="0"/>
              <w:marTop w:val="0"/>
              <w:marBottom w:val="0"/>
              <w:divBdr>
                <w:top w:val="none" w:sz="0" w:space="0" w:color="auto"/>
                <w:left w:val="none" w:sz="0" w:space="0" w:color="auto"/>
                <w:bottom w:val="none" w:sz="0" w:space="0" w:color="auto"/>
                <w:right w:val="none" w:sz="0" w:space="0" w:color="auto"/>
              </w:divBdr>
              <w:divsChild>
                <w:div w:id="1877430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3360147">
          <w:marLeft w:val="0"/>
          <w:marRight w:val="0"/>
          <w:marTop w:val="0"/>
          <w:marBottom w:val="0"/>
          <w:divBdr>
            <w:top w:val="none" w:sz="0" w:space="0" w:color="auto"/>
            <w:left w:val="none" w:sz="0" w:space="0" w:color="auto"/>
            <w:bottom w:val="none" w:sz="0" w:space="0" w:color="auto"/>
            <w:right w:val="none" w:sz="0" w:space="0" w:color="auto"/>
          </w:divBdr>
          <w:divsChild>
            <w:div w:id="1603102972">
              <w:marLeft w:val="0"/>
              <w:marRight w:val="0"/>
              <w:marTop w:val="0"/>
              <w:marBottom w:val="0"/>
              <w:divBdr>
                <w:top w:val="none" w:sz="0" w:space="0" w:color="auto"/>
                <w:left w:val="none" w:sz="0" w:space="0" w:color="auto"/>
                <w:bottom w:val="none" w:sz="0" w:space="0" w:color="auto"/>
                <w:right w:val="none" w:sz="0" w:space="0" w:color="auto"/>
              </w:divBdr>
              <w:divsChild>
                <w:div w:id="1465150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731855">
          <w:marLeft w:val="0"/>
          <w:marRight w:val="0"/>
          <w:marTop w:val="0"/>
          <w:marBottom w:val="0"/>
          <w:divBdr>
            <w:top w:val="none" w:sz="0" w:space="0" w:color="auto"/>
            <w:left w:val="none" w:sz="0" w:space="0" w:color="auto"/>
            <w:bottom w:val="none" w:sz="0" w:space="0" w:color="auto"/>
            <w:right w:val="none" w:sz="0" w:space="0" w:color="auto"/>
          </w:divBdr>
          <w:divsChild>
            <w:div w:id="1417088588">
              <w:marLeft w:val="0"/>
              <w:marRight w:val="0"/>
              <w:marTop w:val="0"/>
              <w:marBottom w:val="0"/>
              <w:divBdr>
                <w:top w:val="none" w:sz="0" w:space="0" w:color="auto"/>
                <w:left w:val="none" w:sz="0" w:space="0" w:color="auto"/>
                <w:bottom w:val="none" w:sz="0" w:space="0" w:color="auto"/>
                <w:right w:val="none" w:sz="0" w:space="0" w:color="auto"/>
              </w:divBdr>
              <w:divsChild>
                <w:div w:id="1417053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5208191">
          <w:marLeft w:val="0"/>
          <w:marRight w:val="0"/>
          <w:marTop w:val="0"/>
          <w:marBottom w:val="0"/>
          <w:divBdr>
            <w:top w:val="none" w:sz="0" w:space="0" w:color="auto"/>
            <w:left w:val="none" w:sz="0" w:space="0" w:color="auto"/>
            <w:bottom w:val="none" w:sz="0" w:space="0" w:color="auto"/>
            <w:right w:val="none" w:sz="0" w:space="0" w:color="auto"/>
          </w:divBdr>
          <w:divsChild>
            <w:div w:id="1036926077">
              <w:marLeft w:val="0"/>
              <w:marRight w:val="0"/>
              <w:marTop w:val="0"/>
              <w:marBottom w:val="0"/>
              <w:divBdr>
                <w:top w:val="none" w:sz="0" w:space="0" w:color="auto"/>
                <w:left w:val="none" w:sz="0" w:space="0" w:color="auto"/>
                <w:bottom w:val="none" w:sz="0" w:space="0" w:color="auto"/>
                <w:right w:val="none" w:sz="0" w:space="0" w:color="auto"/>
              </w:divBdr>
              <w:divsChild>
                <w:div w:id="1774939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729031">
          <w:marLeft w:val="0"/>
          <w:marRight w:val="0"/>
          <w:marTop w:val="0"/>
          <w:marBottom w:val="0"/>
          <w:divBdr>
            <w:top w:val="none" w:sz="0" w:space="0" w:color="auto"/>
            <w:left w:val="none" w:sz="0" w:space="0" w:color="auto"/>
            <w:bottom w:val="none" w:sz="0" w:space="0" w:color="auto"/>
            <w:right w:val="none" w:sz="0" w:space="0" w:color="auto"/>
          </w:divBdr>
          <w:divsChild>
            <w:div w:id="823468598">
              <w:marLeft w:val="0"/>
              <w:marRight w:val="0"/>
              <w:marTop w:val="0"/>
              <w:marBottom w:val="0"/>
              <w:divBdr>
                <w:top w:val="none" w:sz="0" w:space="0" w:color="auto"/>
                <w:left w:val="none" w:sz="0" w:space="0" w:color="auto"/>
                <w:bottom w:val="none" w:sz="0" w:space="0" w:color="auto"/>
                <w:right w:val="none" w:sz="0" w:space="0" w:color="auto"/>
              </w:divBdr>
              <w:divsChild>
                <w:div w:id="16869755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6953111">
          <w:marLeft w:val="0"/>
          <w:marRight w:val="0"/>
          <w:marTop w:val="0"/>
          <w:marBottom w:val="0"/>
          <w:divBdr>
            <w:top w:val="none" w:sz="0" w:space="0" w:color="auto"/>
            <w:left w:val="none" w:sz="0" w:space="0" w:color="auto"/>
            <w:bottom w:val="none" w:sz="0" w:space="0" w:color="auto"/>
            <w:right w:val="none" w:sz="0" w:space="0" w:color="auto"/>
          </w:divBdr>
          <w:divsChild>
            <w:div w:id="1455127211">
              <w:marLeft w:val="0"/>
              <w:marRight w:val="0"/>
              <w:marTop w:val="0"/>
              <w:marBottom w:val="0"/>
              <w:divBdr>
                <w:top w:val="none" w:sz="0" w:space="0" w:color="auto"/>
                <w:left w:val="none" w:sz="0" w:space="0" w:color="auto"/>
                <w:bottom w:val="none" w:sz="0" w:space="0" w:color="auto"/>
                <w:right w:val="none" w:sz="0" w:space="0" w:color="auto"/>
              </w:divBdr>
              <w:divsChild>
                <w:div w:id="1991785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9224303">
          <w:marLeft w:val="0"/>
          <w:marRight w:val="0"/>
          <w:marTop w:val="0"/>
          <w:marBottom w:val="0"/>
          <w:divBdr>
            <w:top w:val="none" w:sz="0" w:space="0" w:color="auto"/>
            <w:left w:val="none" w:sz="0" w:space="0" w:color="auto"/>
            <w:bottom w:val="none" w:sz="0" w:space="0" w:color="auto"/>
            <w:right w:val="none" w:sz="0" w:space="0" w:color="auto"/>
          </w:divBdr>
          <w:divsChild>
            <w:div w:id="1290091076">
              <w:marLeft w:val="0"/>
              <w:marRight w:val="0"/>
              <w:marTop w:val="0"/>
              <w:marBottom w:val="0"/>
              <w:divBdr>
                <w:top w:val="none" w:sz="0" w:space="0" w:color="auto"/>
                <w:left w:val="none" w:sz="0" w:space="0" w:color="auto"/>
                <w:bottom w:val="none" w:sz="0" w:space="0" w:color="auto"/>
                <w:right w:val="none" w:sz="0" w:space="0" w:color="auto"/>
              </w:divBdr>
              <w:divsChild>
                <w:div w:id="11187216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5878207">
          <w:marLeft w:val="0"/>
          <w:marRight w:val="0"/>
          <w:marTop w:val="0"/>
          <w:marBottom w:val="0"/>
          <w:divBdr>
            <w:top w:val="none" w:sz="0" w:space="0" w:color="auto"/>
            <w:left w:val="none" w:sz="0" w:space="0" w:color="auto"/>
            <w:bottom w:val="none" w:sz="0" w:space="0" w:color="auto"/>
            <w:right w:val="none" w:sz="0" w:space="0" w:color="auto"/>
          </w:divBdr>
          <w:divsChild>
            <w:div w:id="1593126244">
              <w:marLeft w:val="0"/>
              <w:marRight w:val="0"/>
              <w:marTop w:val="0"/>
              <w:marBottom w:val="0"/>
              <w:divBdr>
                <w:top w:val="none" w:sz="0" w:space="0" w:color="auto"/>
                <w:left w:val="none" w:sz="0" w:space="0" w:color="auto"/>
                <w:bottom w:val="none" w:sz="0" w:space="0" w:color="auto"/>
                <w:right w:val="none" w:sz="0" w:space="0" w:color="auto"/>
              </w:divBdr>
              <w:divsChild>
                <w:div w:id="566182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2583961">
          <w:marLeft w:val="0"/>
          <w:marRight w:val="0"/>
          <w:marTop w:val="0"/>
          <w:marBottom w:val="0"/>
          <w:divBdr>
            <w:top w:val="none" w:sz="0" w:space="0" w:color="auto"/>
            <w:left w:val="none" w:sz="0" w:space="0" w:color="auto"/>
            <w:bottom w:val="none" w:sz="0" w:space="0" w:color="auto"/>
            <w:right w:val="none" w:sz="0" w:space="0" w:color="auto"/>
          </w:divBdr>
          <w:divsChild>
            <w:div w:id="1661427679">
              <w:marLeft w:val="0"/>
              <w:marRight w:val="0"/>
              <w:marTop w:val="0"/>
              <w:marBottom w:val="0"/>
              <w:divBdr>
                <w:top w:val="none" w:sz="0" w:space="0" w:color="auto"/>
                <w:left w:val="none" w:sz="0" w:space="0" w:color="auto"/>
                <w:bottom w:val="none" w:sz="0" w:space="0" w:color="auto"/>
                <w:right w:val="none" w:sz="0" w:space="0" w:color="auto"/>
              </w:divBdr>
              <w:divsChild>
                <w:div w:id="597196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2959872">
          <w:marLeft w:val="0"/>
          <w:marRight w:val="0"/>
          <w:marTop w:val="0"/>
          <w:marBottom w:val="0"/>
          <w:divBdr>
            <w:top w:val="none" w:sz="0" w:space="0" w:color="auto"/>
            <w:left w:val="none" w:sz="0" w:space="0" w:color="auto"/>
            <w:bottom w:val="none" w:sz="0" w:space="0" w:color="auto"/>
            <w:right w:val="none" w:sz="0" w:space="0" w:color="auto"/>
          </w:divBdr>
          <w:divsChild>
            <w:div w:id="658197461">
              <w:marLeft w:val="0"/>
              <w:marRight w:val="0"/>
              <w:marTop w:val="0"/>
              <w:marBottom w:val="0"/>
              <w:divBdr>
                <w:top w:val="none" w:sz="0" w:space="0" w:color="auto"/>
                <w:left w:val="none" w:sz="0" w:space="0" w:color="auto"/>
                <w:bottom w:val="none" w:sz="0" w:space="0" w:color="auto"/>
                <w:right w:val="none" w:sz="0" w:space="0" w:color="auto"/>
              </w:divBdr>
              <w:divsChild>
                <w:div w:id="1280573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2897064">
      <w:bodyDiv w:val="1"/>
      <w:marLeft w:val="0"/>
      <w:marRight w:val="0"/>
      <w:marTop w:val="0"/>
      <w:marBottom w:val="0"/>
      <w:divBdr>
        <w:top w:val="none" w:sz="0" w:space="0" w:color="auto"/>
        <w:left w:val="none" w:sz="0" w:space="0" w:color="auto"/>
        <w:bottom w:val="none" w:sz="0" w:space="0" w:color="auto"/>
        <w:right w:val="none" w:sz="0" w:space="0" w:color="auto"/>
      </w:divBdr>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106671">
      <w:bodyDiv w:val="1"/>
      <w:marLeft w:val="0"/>
      <w:marRight w:val="0"/>
      <w:marTop w:val="0"/>
      <w:marBottom w:val="0"/>
      <w:divBdr>
        <w:top w:val="none" w:sz="0" w:space="0" w:color="auto"/>
        <w:left w:val="none" w:sz="0" w:space="0" w:color="auto"/>
        <w:bottom w:val="none" w:sz="0" w:space="0" w:color="auto"/>
        <w:right w:val="none" w:sz="0" w:space="0" w:color="auto"/>
      </w:divBdr>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84818">
      <w:bodyDiv w:val="1"/>
      <w:marLeft w:val="0"/>
      <w:marRight w:val="0"/>
      <w:marTop w:val="0"/>
      <w:marBottom w:val="0"/>
      <w:divBdr>
        <w:top w:val="none" w:sz="0" w:space="0" w:color="auto"/>
        <w:left w:val="none" w:sz="0" w:space="0" w:color="auto"/>
        <w:bottom w:val="none" w:sz="0" w:space="0" w:color="auto"/>
        <w:right w:val="none" w:sz="0" w:space="0" w:color="auto"/>
      </w:divBdr>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660871">
      <w:bodyDiv w:val="1"/>
      <w:marLeft w:val="0"/>
      <w:marRight w:val="0"/>
      <w:marTop w:val="0"/>
      <w:marBottom w:val="0"/>
      <w:divBdr>
        <w:top w:val="none" w:sz="0" w:space="0" w:color="auto"/>
        <w:left w:val="none" w:sz="0" w:space="0" w:color="auto"/>
        <w:bottom w:val="none" w:sz="0" w:space="0" w:color="auto"/>
        <w:right w:val="none" w:sz="0" w:space="0" w:color="auto"/>
      </w:divBdr>
      <w:divsChild>
        <w:div w:id="1158762014">
          <w:marLeft w:val="0"/>
          <w:marRight w:val="0"/>
          <w:marTop w:val="0"/>
          <w:marBottom w:val="0"/>
          <w:divBdr>
            <w:top w:val="none" w:sz="0" w:space="0" w:color="auto"/>
            <w:left w:val="none" w:sz="0" w:space="0" w:color="auto"/>
            <w:bottom w:val="none" w:sz="0" w:space="0" w:color="auto"/>
            <w:right w:val="none" w:sz="0" w:space="0" w:color="auto"/>
          </w:divBdr>
          <w:divsChild>
            <w:div w:id="1223326537">
              <w:marLeft w:val="0"/>
              <w:marRight w:val="0"/>
              <w:marTop w:val="0"/>
              <w:marBottom w:val="0"/>
              <w:divBdr>
                <w:top w:val="none" w:sz="0" w:space="0" w:color="auto"/>
                <w:left w:val="none" w:sz="0" w:space="0" w:color="auto"/>
                <w:bottom w:val="none" w:sz="0" w:space="0" w:color="auto"/>
                <w:right w:val="none" w:sz="0" w:space="0" w:color="auto"/>
              </w:divBdr>
              <w:divsChild>
                <w:div w:id="872227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641683">
          <w:marLeft w:val="0"/>
          <w:marRight w:val="0"/>
          <w:marTop w:val="0"/>
          <w:marBottom w:val="0"/>
          <w:divBdr>
            <w:top w:val="none" w:sz="0" w:space="0" w:color="auto"/>
            <w:left w:val="none" w:sz="0" w:space="0" w:color="auto"/>
            <w:bottom w:val="none" w:sz="0" w:space="0" w:color="auto"/>
            <w:right w:val="none" w:sz="0" w:space="0" w:color="auto"/>
          </w:divBdr>
          <w:divsChild>
            <w:div w:id="1293364326">
              <w:marLeft w:val="0"/>
              <w:marRight w:val="0"/>
              <w:marTop w:val="0"/>
              <w:marBottom w:val="0"/>
              <w:divBdr>
                <w:top w:val="none" w:sz="0" w:space="0" w:color="auto"/>
                <w:left w:val="none" w:sz="0" w:space="0" w:color="auto"/>
                <w:bottom w:val="none" w:sz="0" w:space="0" w:color="auto"/>
                <w:right w:val="none" w:sz="0" w:space="0" w:color="auto"/>
              </w:divBdr>
              <w:divsChild>
                <w:div w:id="1800217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220714">
          <w:marLeft w:val="0"/>
          <w:marRight w:val="0"/>
          <w:marTop w:val="0"/>
          <w:marBottom w:val="0"/>
          <w:divBdr>
            <w:top w:val="none" w:sz="0" w:space="0" w:color="auto"/>
            <w:left w:val="none" w:sz="0" w:space="0" w:color="auto"/>
            <w:bottom w:val="none" w:sz="0" w:space="0" w:color="auto"/>
            <w:right w:val="none" w:sz="0" w:space="0" w:color="auto"/>
          </w:divBdr>
          <w:divsChild>
            <w:div w:id="973171698">
              <w:marLeft w:val="0"/>
              <w:marRight w:val="0"/>
              <w:marTop w:val="0"/>
              <w:marBottom w:val="0"/>
              <w:divBdr>
                <w:top w:val="none" w:sz="0" w:space="0" w:color="auto"/>
                <w:left w:val="none" w:sz="0" w:space="0" w:color="auto"/>
                <w:bottom w:val="none" w:sz="0" w:space="0" w:color="auto"/>
                <w:right w:val="none" w:sz="0" w:space="0" w:color="auto"/>
              </w:divBdr>
              <w:divsChild>
                <w:div w:id="753016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7394856">
          <w:marLeft w:val="0"/>
          <w:marRight w:val="0"/>
          <w:marTop w:val="0"/>
          <w:marBottom w:val="0"/>
          <w:divBdr>
            <w:top w:val="none" w:sz="0" w:space="0" w:color="auto"/>
            <w:left w:val="none" w:sz="0" w:space="0" w:color="auto"/>
            <w:bottom w:val="none" w:sz="0" w:space="0" w:color="auto"/>
            <w:right w:val="none" w:sz="0" w:space="0" w:color="auto"/>
          </w:divBdr>
          <w:divsChild>
            <w:div w:id="184543920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5210196">
          <w:marLeft w:val="0"/>
          <w:marRight w:val="0"/>
          <w:marTop w:val="0"/>
          <w:marBottom w:val="0"/>
          <w:divBdr>
            <w:top w:val="none" w:sz="0" w:space="0" w:color="auto"/>
            <w:left w:val="none" w:sz="0" w:space="0" w:color="auto"/>
            <w:bottom w:val="none" w:sz="0" w:space="0" w:color="auto"/>
            <w:right w:val="none" w:sz="0" w:space="0" w:color="auto"/>
          </w:divBdr>
          <w:divsChild>
            <w:div w:id="392316928">
              <w:marLeft w:val="0"/>
              <w:marRight w:val="0"/>
              <w:marTop w:val="0"/>
              <w:marBottom w:val="0"/>
              <w:divBdr>
                <w:top w:val="none" w:sz="0" w:space="0" w:color="auto"/>
                <w:left w:val="none" w:sz="0" w:space="0" w:color="auto"/>
                <w:bottom w:val="none" w:sz="0" w:space="0" w:color="auto"/>
                <w:right w:val="none" w:sz="0" w:space="0" w:color="auto"/>
              </w:divBdr>
              <w:divsChild>
                <w:div w:id="163879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9149198">
          <w:marLeft w:val="0"/>
          <w:marRight w:val="0"/>
          <w:marTop w:val="0"/>
          <w:marBottom w:val="0"/>
          <w:divBdr>
            <w:top w:val="none" w:sz="0" w:space="0" w:color="auto"/>
            <w:left w:val="none" w:sz="0" w:space="0" w:color="auto"/>
            <w:bottom w:val="none" w:sz="0" w:space="0" w:color="auto"/>
            <w:right w:val="none" w:sz="0" w:space="0" w:color="auto"/>
          </w:divBdr>
          <w:divsChild>
            <w:div w:id="395249221">
              <w:marLeft w:val="0"/>
              <w:marRight w:val="0"/>
              <w:marTop w:val="0"/>
              <w:marBottom w:val="0"/>
              <w:divBdr>
                <w:top w:val="none" w:sz="0" w:space="0" w:color="auto"/>
                <w:left w:val="none" w:sz="0" w:space="0" w:color="auto"/>
                <w:bottom w:val="none" w:sz="0" w:space="0" w:color="auto"/>
                <w:right w:val="none" w:sz="0" w:space="0" w:color="auto"/>
              </w:divBdr>
              <w:divsChild>
                <w:div w:id="1115905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572865">
          <w:marLeft w:val="0"/>
          <w:marRight w:val="0"/>
          <w:marTop w:val="0"/>
          <w:marBottom w:val="0"/>
          <w:divBdr>
            <w:top w:val="none" w:sz="0" w:space="0" w:color="auto"/>
            <w:left w:val="none" w:sz="0" w:space="0" w:color="auto"/>
            <w:bottom w:val="none" w:sz="0" w:space="0" w:color="auto"/>
            <w:right w:val="none" w:sz="0" w:space="0" w:color="auto"/>
          </w:divBdr>
          <w:divsChild>
            <w:div w:id="1338582042">
              <w:marLeft w:val="0"/>
              <w:marRight w:val="0"/>
              <w:marTop w:val="0"/>
              <w:marBottom w:val="0"/>
              <w:divBdr>
                <w:top w:val="none" w:sz="0" w:space="0" w:color="auto"/>
                <w:left w:val="none" w:sz="0" w:space="0" w:color="auto"/>
                <w:bottom w:val="none" w:sz="0" w:space="0" w:color="auto"/>
                <w:right w:val="none" w:sz="0" w:space="0" w:color="auto"/>
              </w:divBdr>
              <w:divsChild>
                <w:div w:id="272709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175606">
          <w:marLeft w:val="0"/>
          <w:marRight w:val="0"/>
          <w:marTop w:val="0"/>
          <w:marBottom w:val="0"/>
          <w:divBdr>
            <w:top w:val="none" w:sz="0" w:space="0" w:color="auto"/>
            <w:left w:val="none" w:sz="0" w:space="0" w:color="auto"/>
            <w:bottom w:val="none" w:sz="0" w:space="0" w:color="auto"/>
            <w:right w:val="none" w:sz="0" w:space="0" w:color="auto"/>
          </w:divBdr>
          <w:divsChild>
            <w:div w:id="1436049440">
              <w:marLeft w:val="0"/>
              <w:marRight w:val="0"/>
              <w:marTop w:val="0"/>
              <w:marBottom w:val="0"/>
              <w:divBdr>
                <w:top w:val="none" w:sz="0" w:space="0" w:color="auto"/>
                <w:left w:val="none" w:sz="0" w:space="0" w:color="auto"/>
                <w:bottom w:val="none" w:sz="0" w:space="0" w:color="auto"/>
                <w:right w:val="none" w:sz="0" w:space="0" w:color="auto"/>
              </w:divBdr>
              <w:divsChild>
                <w:div w:id="252472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866042">
      <w:bodyDiv w:val="1"/>
      <w:marLeft w:val="0"/>
      <w:marRight w:val="0"/>
      <w:marTop w:val="0"/>
      <w:marBottom w:val="0"/>
      <w:divBdr>
        <w:top w:val="none" w:sz="0" w:space="0" w:color="auto"/>
        <w:left w:val="none" w:sz="0" w:space="0" w:color="auto"/>
        <w:bottom w:val="none" w:sz="0" w:space="0" w:color="auto"/>
        <w:right w:val="none" w:sz="0" w:space="0" w:color="auto"/>
      </w:divBdr>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595605">
      <w:bodyDiv w:val="1"/>
      <w:marLeft w:val="0"/>
      <w:marRight w:val="0"/>
      <w:marTop w:val="0"/>
      <w:marBottom w:val="0"/>
      <w:divBdr>
        <w:top w:val="none" w:sz="0" w:space="0" w:color="auto"/>
        <w:left w:val="none" w:sz="0" w:space="0" w:color="auto"/>
        <w:bottom w:val="none" w:sz="0" w:space="0" w:color="auto"/>
        <w:right w:val="none" w:sz="0" w:space="0" w:color="auto"/>
      </w:divBdr>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932014">
      <w:bodyDiv w:val="1"/>
      <w:marLeft w:val="0"/>
      <w:marRight w:val="0"/>
      <w:marTop w:val="0"/>
      <w:marBottom w:val="0"/>
      <w:divBdr>
        <w:top w:val="none" w:sz="0" w:space="0" w:color="auto"/>
        <w:left w:val="none" w:sz="0" w:space="0" w:color="auto"/>
        <w:bottom w:val="none" w:sz="0" w:space="0" w:color="auto"/>
        <w:right w:val="none" w:sz="0" w:space="0" w:color="auto"/>
      </w:divBdr>
    </w:div>
    <w:div w:id="2140757220">
      <w:bodyDiv w:val="1"/>
      <w:marLeft w:val="0"/>
      <w:marRight w:val="0"/>
      <w:marTop w:val="0"/>
      <w:marBottom w:val="0"/>
      <w:divBdr>
        <w:top w:val="none" w:sz="0" w:space="0" w:color="auto"/>
        <w:left w:val="none" w:sz="0" w:space="0" w:color="auto"/>
        <w:bottom w:val="none" w:sz="0" w:space="0" w:color="auto"/>
        <w:right w:val="none" w:sz="0" w:space="0" w:color="auto"/>
      </w:divBdr>
      <w:divsChild>
        <w:div w:id="1822893042">
          <w:marLeft w:val="0"/>
          <w:marRight w:val="0"/>
          <w:marTop w:val="0"/>
          <w:marBottom w:val="0"/>
          <w:divBdr>
            <w:top w:val="none" w:sz="0" w:space="0" w:color="auto"/>
            <w:left w:val="none" w:sz="0" w:space="0" w:color="auto"/>
            <w:bottom w:val="none" w:sz="0" w:space="0" w:color="auto"/>
            <w:right w:val="none" w:sz="0" w:space="0" w:color="auto"/>
          </w:divBdr>
          <w:divsChild>
            <w:div w:id="2060743267">
              <w:marLeft w:val="0"/>
              <w:marRight w:val="0"/>
              <w:marTop w:val="0"/>
              <w:marBottom w:val="0"/>
              <w:divBdr>
                <w:top w:val="none" w:sz="0" w:space="0" w:color="auto"/>
                <w:left w:val="none" w:sz="0" w:space="0" w:color="auto"/>
                <w:bottom w:val="none" w:sz="0" w:space="0" w:color="auto"/>
                <w:right w:val="none" w:sz="0" w:space="0" w:color="auto"/>
              </w:divBdr>
              <w:divsChild>
                <w:div w:id="20764721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5471042">
          <w:marLeft w:val="0"/>
          <w:marRight w:val="0"/>
          <w:marTop w:val="0"/>
          <w:marBottom w:val="0"/>
          <w:divBdr>
            <w:top w:val="none" w:sz="0" w:space="0" w:color="auto"/>
            <w:left w:val="none" w:sz="0" w:space="0" w:color="auto"/>
            <w:bottom w:val="none" w:sz="0" w:space="0" w:color="auto"/>
            <w:right w:val="none" w:sz="0" w:space="0" w:color="auto"/>
          </w:divBdr>
          <w:divsChild>
            <w:div w:id="425880672">
              <w:marLeft w:val="0"/>
              <w:marRight w:val="0"/>
              <w:marTop w:val="0"/>
              <w:marBottom w:val="0"/>
              <w:divBdr>
                <w:top w:val="none" w:sz="0" w:space="0" w:color="auto"/>
                <w:left w:val="none" w:sz="0" w:space="0" w:color="auto"/>
                <w:bottom w:val="none" w:sz="0" w:space="0" w:color="auto"/>
                <w:right w:val="none" w:sz="0" w:space="0" w:color="auto"/>
              </w:divBdr>
              <w:divsChild>
                <w:div w:id="20878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3126175">
          <w:marLeft w:val="0"/>
          <w:marRight w:val="0"/>
          <w:marTop w:val="0"/>
          <w:marBottom w:val="0"/>
          <w:divBdr>
            <w:top w:val="none" w:sz="0" w:space="0" w:color="auto"/>
            <w:left w:val="none" w:sz="0" w:space="0" w:color="auto"/>
            <w:bottom w:val="none" w:sz="0" w:space="0" w:color="auto"/>
            <w:right w:val="none" w:sz="0" w:space="0" w:color="auto"/>
          </w:divBdr>
          <w:divsChild>
            <w:div w:id="1018855006">
              <w:marLeft w:val="0"/>
              <w:marRight w:val="0"/>
              <w:marTop w:val="0"/>
              <w:marBottom w:val="0"/>
              <w:divBdr>
                <w:top w:val="none" w:sz="0" w:space="0" w:color="auto"/>
                <w:left w:val="none" w:sz="0" w:space="0" w:color="auto"/>
                <w:bottom w:val="none" w:sz="0" w:space="0" w:color="auto"/>
                <w:right w:val="none" w:sz="0" w:space="0" w:color="auto"/>
              </w:divBdr>
              <w:divsChild>
                <w:div w:id="1536649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9440508">
          <w:marLeft w:val="0"/>
          <w:marRight w:val="0"/>
          <w:marTop w:val="0"/>
          <w:marBottom w:val="0"/>
          <w:divBdr>
            <w:top w:val="none" w:sz="0" w:space="0" w:color="auto"/>
            <w:left w:val="none" w:sz="0" w:space="0" w:color="auto"/>
            <w:bottom w:val="none" w:sz="0" w:space="0" w:color="auto"/>
            <w:right w:val="none" w:sz="0" w:space="0" w:color="auto"/>
          </w:divBdr>
          <w:divsChild>
            <w:div w:id="2003242053">
              <w:marLeft w:val="0"/>
              <w:marRight w:val="0"/>
              <w:marTop w:val="0"/>
              <w:marBottom w:val="0"/>
              <w:divBdr>
                <w:top w:val="none" w:sz="0" w:space="0" w:color="auto"/>
                <w:left w:val="none" w:sz="0" w:space="0" w:color="auto"/>
                <w:bottom w:val="none" w:sz="0" w:space="0" w:color="auto"/>
                <w:right w:val="none" w:sz="0" w:space="0" w:color="auto"/>
              </w:divBdr>
              <w:divsChild>
                <w:div w:id="10154230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376053">
          <w:marLeft w:val="0"/>
          <w:marRight w:val="0"/>
          <w:marTop w:val="0"/>
          <w:marBottom w:val="0"/>
          <w:divBdr>
            <w:top w:val="none" w:sz="0" w:space="0" w:color="auto"/>
            <w:left w:val="none" w:sz="0" w:space="0" w:color="auto"/>
            <w:bottom w:val="none" w:sz="0" w:space="0" w:color="auto"/>
            <w:right w:val="none" w:sz="0" w:space="0" w:color="auto"/>
          </w:divBdr>
          <w:divsChild>
            <w:div w:id="627587155">
              <w:marLeft w:val="0"/>
              <w:marRight w:val="0"/>
              <w:marTop w:val="0"/>
              <w:marBottom w:val="0"/>
              <w:divBdr>
                <w:top w:val="none" w:sz="0" w:space="0" w:color="auto"/>
                <w:left w:val="none" w:sz="0" w:space="0" w:color="auto"/>
                <w:bottom w:val="none" w:sz="0" w:space="0" w:color="auto"/>
                <w:right w:val="none" w:sz="0" w:space="0" w:color="auto"/>
              </w:divBdr>
              <w:divsChild>
                <w:div w:id="150877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6908660">
          <w:marLeft w:val="0"/>
          <w:marRight w:val="0"/>
          <w:marTop w:val="0"/>
          <w:marBottom w:val="0"/>
          <w:divBdr>
            <w:top w:val="none" w:sz="0" w:space="0" w:color="auto"/>
            <w:left w:val="none" w:sz="0" w:space="0" w:color="auto"/>
            <w:bottom w:val="none" w:sz="0" w:space="0" w:color="auto"/>
            <w:right w:val="none" w:sz="0" w:space="0" w:color="auto"/>
          </w:divBdr>
          <w:divsChild>
            <w:div w:id="1801260689">
              <w:marLeft w:val="0"/>
              <w:marRight w:val="0"/>
              <w:marTop w:val="0"/>
              <w:marBottom w:val="0"/>
              <w:divBdr>
                <w:top w:val="none" w:sz="0" w:space="0" w:color="auto"/>
                <w:left w:val="none" w:sz="0" w:space="0" w:color="auto"/>
                <w:bottom w:val="none" w:sz="0" w:space="0" w:color="auto"/>
                <w:right w:val="none" w:sz="0" w:space="0" w:color="auto"/>
              </w:divBdr>
              <w:divsChild>
                <w:div w:id="19274222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5077640">
          <w:marLeft w:val="0"/>
          <w:marRight w:val="0"/>
          <w:marTop w:val="0"/>
          <w:marBottom w:val="0"/>
          <w:divBdr>
            <w:top w:val="none" w:sz="0" w:space="0" w:color="auto"/>
            <w:left w:val="none" w:sz="0" w:space="0" w:color="auto"/>
            <w:bottom w:val="none" w:sz="0" w:space="0" w:color="auto"/>
            <w:right w:val="none" w:sz="0" w:space="0" w:color="auto"/>
          </w:divBdr>
          <w:divsChild>
            <w:div w:id="897783972">
              <w:marLeft w:val="0"/>
              <w:marRight w:val="0"/>
              <w:marTop w:val="0"/>
              <w:marBottom w:val="0"/>
              <w:divBdr>
                <w:top w:val="none" w:sz="0" w:space="0" w:color="auto"/>
                <w:left w:val="none" w:sz="0" w:space="0" w:color="auto"/>
                <w:bottom w:val="none" w:sz="0" w:space="0" w:color="auto"/>
                <w:right w:val="none" w:sz="0" w:space="0" w:color="auto"/>
              </w:divBdr>
              <w:divsChild>
                <w:div w:id="690843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09696">
          <w:marLeft w:val="0"/>
          <w:marRight w:val="0"/>
          <w:marTop w:val="0"/>
          <w:marBottom w:val="0"/>
          <w:divBdr>
            <w:top w:val="none" w:sz="0" w:space="0" w:color="auto"/>
            <w:left w:val="none" w:sz="0" w:space="0" w:color="auto"/>
            <w:bottom w:val="none" w:sz="0" w:space="0" w:color="auto"/>
            <w:right w:val="none" w:sz="0" w:space="0" w:color="auto"/>
          </w:divBdr>
          <w:divsChild>
            <w:div w:id="1535190399">
              <w:marLeft w:val="0"/>
              <w:marRight w:val="0"/>
              <w:marTop w:val="0"/>
              <w:marBottom w:val="0"/>
              <w:divBdr>
                <w:top w:val="none" w:sz="0" w:space="0" w:color="auto"/>
                <w:left w:val="none" w:sz="0" w:space="0" w:color="auto"/>
                <w:bottom w:val="none" w:sz="0" w:space="0" w:color="auto"/>
                <w:right w:val="none" w:sz="0" w:space="0" w:color="auto"/>
              </w:divBdr>
              <w:divsChild>
                <w:div w:id="1841233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3521-PGP.html/ACTU-2022-00048" TargetMode="External"/><Relationship Id="rId13" Type="http://schemas.openxmlformats.org/officeDocument/2006/relationships/hyperlink" Target="https://bofip.impots.gouv.fr/bofip/13510-PGP.html/ACTU-2022-00038" TargetMode="External"/><Relationship Id="rId18" Type="http://schemas.openxmlformats.org/officeDocument/2006/relationships/hyperlink" Target="https://www.legifrance.gouv.fr/jorf/id/JORFTEXT000045780470" TargetMode="External"/><Relationship Id="rId26" Type="http://schemas.openxmlformats.org/officeDocument/2006/relationships/hyperlink" Target="https://bofip.impots.gouv.fr/bofip/13522-PGP.html/ACTU-2022-00049"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ofip.impots.gouv.fr/bofip/13566-PGP.html/ACTU-2022-00072" TargetMode="External"/><Relationship Id="rId34" Type="http://schemas.openxmlformats.org/officeDocument/2006/relationships/hyperlink" Target="https://bofip.impots.gouv.fr/bofip/13599-PGP.html/ACTU-2022-00083"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ofip.impots.gouv.fr/bofip/13006-PGP.html/ACTU-2021-00143" TargetMode="External"/><Relationship Id="rId17" Type="http://schemas.openxmlformats.org/officeDocument/2006/relationships/hyperlink" Target="https://www.legifrance.gouv.fr/jorf/id/JORFTEXT000045382193" TargetMode="External"/><Relationship Id="rId25" Type="http://schemas.openxmlformats.org/officeDocument/2006/relationships/hyperlink" Target="https://bofip.impots.gouv.fr/bofip/13479-PGP.html/ACTU-2022-00016" TargetMode="External"/><Relationship Id="rId33" Type="http://schemas.openxmlformats.org/officeDocument/2006/relationships/hyperlink" Target="https://bofip.impots.gouv.fr/bofip/13626-PGP.html/ACTU-2022-00096" TargetMode="External"/><Relationship Id="rId38" Type="http://schemas.openxmlformats.org/officeDocument/2006/relationships/hyperlink" Target="https://bofip.impots.gouv.fr/bofip/13311-PGP.html/ACTU-2021-00260" TargetMode="External"/><Relationship Id="rId2" Type="http://schemas.openxmlformats.org/officeDocument/2006/relationships/numbering" Target="numbering.xml"/><Relationship Id="rId16" Type="http://schemas.openxmlformats.org/officeDocument/2006/relationships/hyperlink" Target="https://www.anc.gouv.fr/files/live/sites/anc/files/contributed/ANC/1_Normes_fran%c3%a7aises/Reglements/2022/R2022_03/R2022_03.pdf" TargetMode="External"/><Relationship Id="rId20" Type="http://schemas.openxmlformats.org/officeDocument/2006/relationships/hyperlink" Target="https://bofip.impots.gouv.fr/bofip/13579-PGP.html/ACTU-2022-00074" TargetMode="External"/><Relationship Id="rId29" Type="http://schemas.openxmlformats.org/officeDocument/2006/relationships/hyperlink" Target="https://bofip.impots.gouv.fr/bofip/13502-PGP.html/ACTU-2022-0003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fip.impots.gouv.fr/bofip/13264-PGP.html/ACTU-2021-00241" TargetMode="External"/><Relationship Id="rId24" Type="http://schemas.openxmlformats.org/officeDocument/2006/relationships/hyperlink" Target="https://bofip.impots.gouv.fr/bofip/13564-PGP.html/ACTU-2022-00071" TargetMode="External"/><Relationship Id="rId32" Type="http://schemas.openxmlformats.org/officeDocument/2006/relationships/hyperlink" Target="https://bofip.impots.gouv.fr/bofip/13601-PGP.html/ACTU-2022-00085" TargetMode="External"/><Relationship Id="rId37" Type="http://schemas.openxmlformats.org/officeDocument/2006/relationships/hyperlink" Target="https://bofip.impots.gouv.fr/bofip/13438-PGP.html/ACTU-2021-00317"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france.gouv.fr/juri/id/JURITEXT000045267266?dateDecision=17%2F02%2F2022+%3E+17%2F02%2F2022&amp;page=1&amp;pageSize=10&amp;query=20-17.704&amp;searchField=ALL&amp;searchType=ALL&amp;sortValue=DATE_DESC&amp;tab_selection=juri&amp;typePagination=DEFAULT" TargetMode="External"/><Relationship Id="rId23" Type="http://schemas.openxmlformats.org/officeDocument/2006/relationships/hyperlink" Target="https://bofip.impots.gouv.fr/bofip/13510-PGP.html/ACTU-2022-00038" TargetMode="External"/><Relationship Id="rId28" Type="http://schemas.openxmlformats.org/officeDocument/2006/relationships/hyperlink" Target="https://bofip.impots.gouv.fr/bofip/12265-PGP.html/ACTU-2020-00152" TargetMode="External"/><Relationship Id="rId36" Type="http://schemas.openxmlformats.org/officeDocument/2006/relationships/hyperlink" Target="https://bofip.impots.gouv.fr/bofip/13042-PGP.html/ACTU-2021-00163" TargetMode="External"/><Relationship Id="rId10" Type="http://schemas.openxmlformats.org/officeDocument/2006/relationships/hyperlink" Target="https://questions.assemblee-nationale.fr/q15/15-35808QE.htm" TargetMode="External"/><Relationship Id="rId19" Type="http://schemas.openxmlformats.org/officeDocument/2006/relationships/hyperlink" Target="https://bofip.impots.gouv.fr/bofip/13264-PGP.html/ACTU-2021-00241" TargetMode="External"/><Relationship Id="rId31" Type="http://schemas.openxmlformats.org/officeDocument/2006/relationships/hyperlink" Target="https://bofip.impots.gouv.fr/bofip/13022-PGP.html/ACTU-2021-00151" TargetMode="External"/><Relationship Id="rId4" Type="http://schemas.openxmlformats.org/officeDocument/2006/relationships/settings" Target="settings.xml"/><Relationship Id="rId9" Type="http://schemas.openxmlformats.org/officeDocument/2006/relationships/hyperlink" Target="https://www.legifrance.gouv.fr/ceta/id/CETATEXT000045861941?juridiction=CONSEIL_ETAT&amp;juridiction=COURS_APPEL&amp;juridiction=TRIBUNAL_ADMINISTATIF&amp;juridiction=TRIBUNAL_CONFLIT&amp;page=1&amp;pageSize=10&amp;query=451379&amp;searchField=ALL&amp;searchType=ALL&amp;sortValue=DATE_DESC&amp;tab_selection=cetat" TargetMode="External"/><Relationship Id="rId14" Type="http://schemas.openxmlformats.org/officeDocument/2006/relationships/hyperlink" Target="https://bofip.impots.gouv.fr/bofip/13564-PGP.html/ACTU-2022-00071" TargetMode="External"/><Relationship Id="rId22" Type="http://schemas.openxmlformats.org/officeDocument/2006/relationships/hyperlink" Target="https://bofip.impots.gouv.fr/bofip/13587-PGP.html/ACTU-2022-00078" TargetMode="External"/><Relationship Id="rId27" Type="http://schemas.openxmlformats.org/officeDocument/2006/relationships/hyperlink" Target="https://bofip.impots.gouv.fr/bofip/13588-PGP.html/ACTU-2022-00079" TargetMode="External"/><Relationship Id="rId30" Type="http://schemas.openxmlformats.org/officeDocument/2006/relationships/hyperlink" Target="https://bofip.impots.gouv.fr/bofip/13521-PGP.html/ACTU-2022-00048" TargetMode="External"/><Relationship Id="rId35" Type="http://schemas.openxmlformats.org/officeDocument/2006/relationships/hyperlink" Target="https://bofip.impots.gouv.fr/bofip/13006-PGP.html/ACTU-2021-00143"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5</Pages>
  <Words>3230</Words>
  <Characters>17766</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20955</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14</cp:revision>
  <cp:lastPrinted>2020-08-04T09:31:00Z</cp:lastPrinted>
  <dcterms:created xsi:type="dcterms:W3CDTF">2022-05-28T13:59:00Z</dcterms:created>
  <dcterms:modified xsi:type="dcterms:W3CDTF">2022-06-27T14:49:00Z</dcterms:modified>
</cp:coreProperties>
</file>