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659ABDEA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2-0</w:t>
            </w:r>
            <w:r w:rsidR="008E34A6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5449C49A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8E34A6">
              <w:t>28 février</w:t>
            </w:r>
            <w:r w:rsidR="0048009B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717F32B4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E54B48">
        <w:t>Plus d’exonération d’IS pour certaines opérations d’aménagement -</w:t>
      </w:r>
    </w:p>
    <w:p w14:paraId="073D1CB1" w14:textId="3F5C4759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E54B48">
        <w:t>TVA sur marge : il faut se fier à l’Administration -</w:t>
      </w:r>
    </w:p>
    <w:p w14:paraId="4E8276DC" w14:textId="5722A9D1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ED2D63">
        <w:t>Rien à signaler</w:t>
      </w:r>
    </w:p>
    <w:p w14:paraId="7E16B77A" w14:textId="5333044A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6A706E56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E54B48">
        <w:t>Taxe sur les bureaux et stationnements – Frais de repas, Frais d’automobile - Indemnités kilométriques -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238EF075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E54B48">
        <w:t>Actualité de la M14 -</w:t>
      </w:r>
    </w:p>
    <w:p w14:paraId="5F6B1C19" w14:textId="72B853E8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E54B48">
        <w:t>Les nouveaux états financiers en projet – Traitement de subventions d’investissement dans les comptes consolidés – Actualité du logement social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5450E08B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E54B48">
        <w:t>Maintien du tarif des notaires -</w:t>
      </w:r>
    </w:p>
    <w:p w14:paraId="41468130" w14:textId="04BA2224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E54B48">
        <w:t>Mise à disposition gratuite de la compétence de l’assemblée délibérante – La mission de France Domaine ne sera pas confiée aux notaires – Domanialité et copropriété -</w:t>
      </w:r>
    </w:p>
    <w:p w14:paraId="48D6DEFC" w14:textId="7D913BDA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E54B48">
        <w:t>Rien à signaler</w:t>
      </w:r>
    </w:p>
    <w:p w14:paraId="76354D80" w14:textId="07841E71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E54B48">
        <w:t>Rapport sur les marchés publics -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11097543" w:rsidR="00E935A2" w:rsidRDefault="00E935A2" w:rsidP="00A01213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042D23C3" w14:textId="2433FE21" w:rsidR="008E34A6" w:rsidRPr="00B655ED" w:rsidRDefault="00B655ED" w:rsidP="00B655ED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Exonération des opérations d’aménagement –</w:t>
      </w:r>
      <w:r>
        <w:rPr>
          <w:color w:val="003300"/>
        </w:rPr>
        <w:t xml:space="preserve"> A partir du 1</w:t>
      </w:r>
      <w:r w:rsidRPr="00B655ED">
        <w:rPr>
          <w:color w:val="003300"/>
          <w:vertAlign w:val="superscript"/>
        </w:rPr>
        <w:t>er</w:t>
      </w:r>
      <w:r>
        <w:rPr>
          <w:color w:val="003300"/>
        </w:rPr>
        <w:t xml:space="preserve"> janvier 2020 et des précisions sont apportées pour savoir quelles opérations sont concernées.</w:t>
      </w:r>
    </w:p>
    <w:p w14:paraId="14FA3680" w14:textId="77777777" w:rsidR="00B655ED" w:rsidRPr="00B655ED" w:rsidRDefault="001F7999" w:rsidP="00B655ED">
      <w:pPr>
        <w:pStyle w:val="NormalWeb"/>
        <w:shd w:val="clear" w:color="auto" w:fill="FFFFFF"/>
        <w:spacing w:before="120" w:after="0"/>
        <w:ind w:left="567"/>
        <w:jc w:val="both"/>
        <w:rPr>
          <w:color w:val="333333"/>
        </w:rPr>
      </w:pPr>
      <w:hyperlink r:id="rId8" w:tooltip="16/02/2022 : IS - Suppression de l'exonération, prévue au 6° bis du 1 de l’article 207 du code général des impôts (CGI), bénéficiant aux organismes contribuant à l'aménagement urbain et extension du champ d'application de l'exonération, prévue aux 14° et 15° d" w:history="1">
        <w:r w:rsidR="00B655ED" w:rsidRPr="00B655ED">
          <w:rPr>
            <w:rStyle w:val="Lienhypertexte"/>
          </w:rPr>
          <w:t>16/02/2022 : IS - Suppression de l'exonération, prévue au 6° bis du 1 de l’article 207 du code général des impôts (CGI), bénéficiant aux organismes contribuant à l'aménagement urbain et extension du champ d'application de l'exonération, prévue aux 14° et 15° du 1 de l'article 207 du CGI, bénéficiant aux sociétés facilitant le logement des salariés et leur mobilité (loi n° 2019-1479 du 28 décembre 2019 de finances pour 2020, art. 29, III-7° et art. 52)</w:t>
        </w:r>
      </w:hyperlink>
    </w:p>
    <w:p w14:paraId="62E80419" w14:textId="2C9250A9" w:rsidR="00516DD0" w:rsidRPr="00D61BAB" w:rsidRDefault="00516DD0" w:rsidP="00B655ED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4D70334C" w14:textId="4C84DC5C" w:rsidR="008A263B" w:rsidRPr="00D04802" w:rsidRDefault="008A263B" w:rsidP="008A263B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E54B48">
        <w:rPr>
          <w:color w:val="003300"/>
          <w:u w:val="single"/>
        </w:rPr>
        <w:t>TVA sur marge</w:t>
      </w:r>
      <w:r>
        <w:rPr>
          <w:color w:val="003300"/>
        </w:rPr>
        <w:t xml:space="preserve"> – (pour les terrains à bâtir) Pour répondre à la question : à qui se fier ? La réponse est, pour le moment : à l’administration fiscale.</w:t>
      </w:r>
    </w:p>
    <w:p w14:paraId="393ABB2F" w14:textId="078E4CB0" w:rsidR="008E34A6" w:rsidRPr="008A263B" w:rsidRDefault="008A263B" w:rsidP="008A263B">
      <w:pPr>
        <w:keepNext/>
        <w:spacing w:before="120" w:after="0" w:line="240" w:lineRule="auto"/>
        <w:ind w:left="567"/>
        <w:rPr>
          <w:color w:val="003300"/>
        </w:rPr>
      </w:pPr>
      <w:hyperlink r:id="rId9" w:history="1">
        <w:r w:rsidRPr="008A263B">
          <w:rPr>
            <w:rStyle w:val="Lienhypertexte"/>
          </w:rPr>
          <w:t>Réponse Grau n°42486</w:t>
        </w:r>
      </w:hyperlink>
      <w:r w:rsidRPr="008A263B">
        <w:t>, JOAN 01/02/2022, p. 702</w:t>
      </w:r>
    </w:p>
    <w:p w14:paraId="6CE58C92" w14:textId="3FA1B21C" w:rsidR="00FF358C" w:rsidRPr="006320BB" w:rsidRDefault="00FF358C" w:rsidP="00B655ED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788D074E" w14:textId="77777777" w:rsidR="00D24079" w:rsidRPr="00D04802" w:rsidRDefault="00D24079" w:rsidP="00B655ED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034CD263" w14:textId="69FC3A91" w:rsidR="00426AED" w:rsidRPr="00D61BAB" w:rsidRDefault="00426AED" w:rsidP="00B655ED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</w:t>
      </w:r>
      <w:r>
        <w:rPr>
          <w:rFonts w:cs="Times"/>
          <w:b/>
          <w:szCs w:val="24"/>
        </w:rPr>
        <w:t>4</w:t>
      </w:r>
      <w:r w:rsidRPr="00D61BA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Taxes sur les salaires</w:t>
      </w:r>
    </w:p>
    <w:p w14:paraId="644BEA41" w14:textId="13BD272F" w:rsidR="000A508A" w:rsidRPr="00D04802" w:rsidRDefault="00D04802" w:rsidP="00B655ED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4EA0B02B" w:rsidR="00876847" w:rsidRDefault="00BA1DA3" w:rsidP="00B655ED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47152080" w14:textId="0B027984" w:rsidR="000D778A" w:rsidRDefault="008E34A6" w:rsidP="00B655ED">
      <w:pPr>
        <w:keepNext/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>Taxe sur les bureaux et les emplacement</w:t>
      </w:r>
      <w:r w:rsidR="00B655ED">
        <w:rPr>
          <w:color w:val="003300"/>
          <w:u w:val="single"/>
        </w:rPr>
        <w:t>s</w:t>
      </w:r>
      <w:r>
        <w:rPr>
          <w:color w:val="003300"/>
          <w:u w:val="single"/>
        </w:rPr>
        <w:t xml:space="preserve"> de stationnement</w:t>
      </w:r>
      <w:r>
        <w:rPr>
          <w:color w:val="003300"/>
        </w:rPr>
        <w:t xml:space="preserve"> – Tarifs 2022 et précisions sur ce qu’est une place de stationnement.</w:t>
      </w:r>
    </w:p>
    <w:p w14:paraId="28797E1E" w14:textId="77777777" w:rsidR="008E34A6" w:rsidRPr="008E34A6" w:rsidRDefault="001F7999" w:rsidP="00B655ED">
      <w:pPr>
        <w:pStyle w:val="NormalWeb"/>
        <w:shd w:val="clear" w:color="auto" w:fill="FFFFFF"/>
        <w:spacing w:before="120" w:after="0"/>
        <w:ind w:left="567"/>
        <w:jc w:val="both"/>
        <w:rPr>
          <w:color w:val="333333"/>
        </w:rPr>
      </w:pPr>
      <w:hyperlink r:id="rId10" w:tooltip="09/02/2022 : IF - AUT - Taxe annuelle sur les locaux à usage de bureaux, les locaux commerciaux, les locaux de stockage et les surfaces de stationnement perçue en Île-de-France et taxe annuelle sur les surfaces de stationnement perçue au profit de la région d'" w:history="1">
        <w:r w:rsidR="008E34A6" w:rsidRPr="008E34A6">
          <w:rPr>
            <w:rStyle w:val="Lienhypertexte"/>
          </w:rPr>
          <w:t>09/02/2022 : IF - AUT - Taxe annuelle sur les locaux à usage de bureaux, les locaux commerciaux, les locaux de stockage et les surfaces de stationnement perçue en Île-de-France et taxe annuelle sur les surfaces de stationnement perçue au profit de la région d'Île-de-France - Fixation des tarifs au titre de 2022 - Jurisprudences (CE, 20 octobre 2021, Société Transports</w:t>
        </w:r>
        <w:r w:rsidR="008E34A6" w:rsidRPr="00B25ECE">
          <w:rPr>
            <w:rStyle w:val="Lienhypertexte"/>
          </w:rPr>
          <w:t xml:space="preserve"> du V</w:t>
        </w:r>
        <w:r w:rsidR="008E34A6" w:rsidRPr="008E34A6">
          <w:rPr>
            <w:rStyle w:val="Lienhypertexte"/>
          </w:rPr>
          <w:t>al d’Oise, n° 448562 ; CE, 15 novembre 2021, Société Natixis Bail, n° 439014)</w:t>
        </w:r>
      </w:hyperlink>
    </w:p>
    <w:p w14:paraId="70E1FB7A" w14:textId="32E2EEC1" w:rsidR="008E34A6" w:rsidRDefault="008E34A6" w:rsidP="00B655ED">
      <w:pPr>
        <w:keepNext/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>Repas, autos et les frais</w:t>
      </w:r>
      <w:r>
        <w:rPr>
          <w:color w:val="003300"/>
        </w:rPr>
        <w:t xml:space="preserve"> – Les limites pour 2022</w:t>
      </w:r>
      <w:r w:rsidR="00B655ED">
        <w:rPr>
          <w:color w:val="003300"/>
        </w:rPr>
        <w:t>.</w:t>
      </w:r>
    </w:p>
    <w:p w14:paraId="05EC0EE7" w14:textId="77777777" w:rsidR="008E34A6" w:rsidRPr="00B655ED" w:rsidRDefault="001F7999" w:rsidP="00B655ED">
      <w:pPr>
        <w:pStyle w:val="NormalWeb"/>
        <w:shd w:val="clear" w:color="auto" w:fill="FFFFFF"/>
        <w:spacing w:before="120" w:after="0"/>
        <w:ind w:left="567"/>
        <w:jc w:val="both"/>
        <w:rPr>
          <w:color w:val="333333"/>
        </w:rPr>
      </w:pPr>
      <w:hyperlink r:id="rId11" w:tooltip="09/02/2022 : BNC - Actualisation pour 2022 des seuils et limites de déduction des frais supplémentaires de repas " w:history="1">
        <w:r w:rsidR="008E34A6" w:rsidRPr="00B655ED">
          <w:rPr>
            <w:rStyle w:val="Lienhypertexte"/>
          </w:rPr>
          <w:t>09/02/2022 : BNC - Actualisation pour 2022 des seuils et limites de déduction des frais supplémentaires de repas</w:t>
        </w:r>
      </w:hyperlink>
    </w:p>
    <w:p w14:paraId="5E5E921D" w14:textId="77777777" w:rsidR="008E34A6" w:rsidRPr="00B655ED" w:rsidRDefault="001F7999" w:rsidP="0046312C">
      <w:pPr>
        <w:pStyle w:val="NormalWeb"/>
        <w:shd w:val="clear" w:color="auto" w:fill="FFFFFF"/>
        <w:spacing w:before="120" w:after="0"/>
        <w:ind w:left="567"/>
        <w:jc w:val="both"/>
        <w:rPr>
          <w:color w:val="333333"/>
        </w:rPr>
      </w:pPr>
      <w:hyperlink r:id="rId12" w:tooltip="09/02/2022 : RSA - BA - BIC - BNC (sous conditions) - Frais de carburant en euro au kilomètre - Barèmes applicables pour 2021" w:history="1">
        <w:r w:rsidR="008E34A6" w:rsidRPr="00B655ED">
          <w:rPr>
            <w:rStyle w:val="Lienhypertexte"/>
          </w:rPr>
          <w:t>09/02/2022 : RSA - BA - BIC - BNC (sous conditions) - Frais de carburant en euro au kilomètre - Barèmes applicables pour 2021</w:t>
        </w:r>
      </w:hyperlink>
    </w:p>
    <w:p w14:paraId="594AD935" w14:textId="3CB13BF8" w:rsidR="0046312C" w:rsidRDefault="0046312C" w:rsidP="0046312C">
      <w:pPr>
        <w:keepNext/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>Les indemnités kilométriques</w:t>
      </w:r>
      <w:r>
        <w:rPr>
          <w:color w:val="003300"/>
        </w:rPr>
        <w:t xml:space="preserve"> – Les </w:t>
      </w:r>
      <w:r>
        <w:rPr>
          <w:color w:val="003300"/>
        </w:rPr>
        <w:t>nouveaux tarifs.</w:t>
      </w:r>
    </w:p>
    <w:p w14:paraId="5E4A951C" w14:textId="7D75F0F7" w:rsidR="008E34A6" w:rsidRPr="000D778A" w:rsidRDefault="0046312C" w:rsidP="0046312C">
      <w:pPr>
        <w:spacing w:before="120" w:after="0" w:line="240" w:lineRule="auto"/>
        <w:ind w:left="567"/>
      </w:pPr>
      <w:hyperlink r:id="rId13" w:history="1">
        <w:r w:rsidRPr="0046312C">
          <w:rPr>
            <w:rStyle w:val="Lienhypertexte"/>
          </w:rPr>
          <w:t>Arrêté du 1er février 2022</w:t>
        </w:r>
      </w:hyperlink>
      <w:r w:rsidRPr="0046312C">
        <w:t xml:space="preserve"> fixant le barème forfaitaire permettant l'évaluation des frais de déplacement relatifs à l'utilisation d'un véhicule par les bénéficiaires de traitements et salaires optant pour le régime des frais réels déductibles</w:t>
      </w:r>
    </w:p>
    <w:p w14:paraId="20C76B2E" w14:textId="3C1CB255" w:rsidR="00E935A2" w:rsidRPr="006320BB" w:rsidRDefault="00E935A2" w:rsidP="00B655ED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B655ED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21E4E643" w14:textId="7DDA856C" w:rsidR="008E34A6" w:rsidRDefault="00CA5564" w:rsidP="00B655ED">
      <w:pPr>
        <w:spacing w:before="120" w:after="0" w:line="240" w:lineRule="auto"/>
      </w:pPr>
      <w:r>
        <w:rPr>
          <w:color w:val="003300"/>
          <w:u w:val="single"/>
        </w:rPr>
        <w:t>M14</w:t>
      </w:r>
      <w:r>
        <w:rPr>
          <w:color w:val="003300"/>
        </w:rPr>
        <w:t xml:space="preserve"> – </w:t>
      </w:r>
      <w:r>
        <w:rPr>
          <w:color w:val="003300"/>
        </w:rPr>
        <w:t>Actualisation.</w:t>
      </w:r>
    </w:p>
    <w:p w14:paraId="61095BC0" w14:textId="399255DA" w:rsidR="00CA5564" w:rsidRDefault="00CA5564" w:rsidP="00CA5564">
      <w:pPr>
        <w:spacing w:before="120" w:after="0" w:line="240" w:lineRule="auto"/>
        <w:ind w:left="567"/>
      </w:pPr>
      <w:hyperlink r:id="rId14" w:history="1">
        <w:r w:rsidRPr="00CA5564">
          <w:rPr>
            <w:rStyle w:val="Lienhypertexte"/>
          </w:rPr>
          <w:t>Arrêté du 13 janvier 2022</w:t>
        </w:r>
      </w:hyperlink>
      <w:r w:rsidRPr="00CA5564">
        <w:t xml:space="preserve"> modifiant l'arrêté du 9 décembre 2021 relatif à l'instruction budgétaire et comptable M. 14 applicable aux communes et aux établissements publics communaux et intercommunaux à caractère administratif</w:t>
      </w:r>
    </w:p>
    <w:p w14:paraId="1E12E0B0" w14:textId="39703D1A" w:rsidR="00925661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085F9E3E" w14:textId="3120E2D9" w:rsidR="00D83A1C" w:rsidRDefault="00B25ECE" w:rsidP="00B655ED">
      <w:pPr>
        <w:spacing w:before="120" w:after="0" w:line="240" w:lineRule="auto"/>
        <w:rPr>
          <w:color w:val="003300"/>
        </w:rPr>
      </w:pPr>
      <w:r w:rsidRPr="00B25ECE">
        <w:rPr>
          <w:color w:val="003300"/>
          <w:u w:val="single"/>
        </w:rPr>
        <w:t>Les états financiers</w:t>
      </w:r>
      <w:r>
        <w:rPr>
          <w:color w:val="003300"/>
        </w:rPr>
        <w:t xml:space="preserve"> – modernisation en cours d’analyse par l’ANC</w:t>
      </w:r>
    </w:p>
    <w:p w14:paraId="52FF0F9E" w14:textId="77777777" w:rsidR="00B25ECE" w:rsidRPr="00B25ECE" w:rsidRDefault="00B25ECE" w:rsidP="00B25ECE">
      <w:pPr>
        <w:shd w:val="clear" w:color="auto" w:fill="FFFFFF"/>
        <w:spacing w:before="120" w:after="0" w:line="240" w:lineRule="auto"/>
        <w:ind w:left="658"/>
        <w:jc w:val="left"/>
        <w:rPr>
          <w:rFonts w:ascii="Times New Roman" w:eastAsia="Times New Roman" w:hAnsi="Times New Roman"/>
          <w:color w:val="0000FF"/>
          <w:szCs w:val="24"/>
        </w:rPr>
      </w:pPr>
      <w:hyperlink r:id="rId15" w:tgtFrame="_blank" w:tooltip="Projet_modernisation-des-etats-financiers" w:history="1">
        <w:r w:rsidRPr="00B25ECE">
          <w:rPr>
            <w:rStyle w:val="Lienhypertexte"/>
            <w:rFonts w:ascii="Times New Roman" w:hAnsi="Times New Roman"/>
            <w:szCs w:val="24"/>
          </w:rPr>
          <w:t>Projet de texte modifiant le règlement ANC N° 2014-03 du 5 juin 2014 relatif au plan comptable général modifié</w:t>
        </w:r>
      </w:hyperlink>
    </w:p>
    <w:p w14:paraId="1E070927" w14:textId="77777777" w:rsidR="00B25ECE" w:rsidRPr="00B25ECE" w:rsidRDefault="00B25ECE" w:rsidP="00B25ECE">
      <w:pPr>
        <w:shd w:val="clear" w:color="auto" w:fill="FFFFFF"/>
        <w:spacing w:before="120" w:after="0" w:line="240" w:lineRule="auto"/>
        <w:ind w:left="658"/>
        <w:jc w:val="left"/>
        <w:rPr>
          <w:rFonts w:ascii="Times New Roman" w:hAnsi="Times New Roman"/>
          <w:color w:val="0000FF"/>
          <w:szCs w:val="24"/>
        </w:rPr>
      </w:pPr>
      <w:hyperlink r:id="rId16" w:tgtFrame="_blank" w:tooltip="Fiches_modernisation-des-etats-financiers" w:history="1">
        <w:r w:rsidRPr="00B25ECE">
          <w:rPr>
            <w:rStyle w:val="Lienhypertexte"/>
            <w:rFonts w:ascii="Times New Roman" w:hAnsi="Times New Roman"/>
            <w:szCs w:val="24"/>
          </w:rPr>
          <w:t>Fiches explicatives</w:t>
        </w:r>
      </w:hyperlink>
    </w:p>
    <w:p w14:paraId="55AB6D5B" w14:textId="4B7259C8" w:rsidR="00B25ECE" w:rsidRDefault="00C040DF" w:rsidP="00B655ED">
      <w:pPr>
        <w:spacing w:before="120" w:after="0" w:line="240" w:lineRule="auto"/>
        <w:rPr>
          <w:color w:val="003300"/>
        </w:rPr>
      </w:pPr>
      <w:r w:rsidRPr="00C040DF">
        <w:rPr>
          <w:color w:val="003300"/>
          <w:u w:val="single"/>
        </w:rPr>
        <w:t>Subventions d’investissement</w:t>
      </w:r>
      <w:r>
        <w:rPr>
          <w:color w:val="003300"/>
        </w:rPr>
        <w:t xml:space="preserve"> – Désormais, elles ne peuvent plus figurer en produit d’avance dans les comptes consolidés.</w:t>
      </w:r>
    </w:p>
    <w:p w14:paraId="665F0E2F" w14:textId="7623EC11" w:rsidR="00C040DF" w:rsidRPr="00C040DF" w:rsidRDefault="00C040DF" w:rsidP="00C040DF">
      <w:pPr>
        <w:spacing w:before="120" w:after="0" w:line="240" w:lineRule="auto"/>
        <w:ind w:left="567"/>
      </w:pPr>
      <w:r w:rsidRPr="00C040DF">
        <w:t>EC 2022-01</w:t>
      </w:r>
      <w:r>
        <w:t xml:space="preserve"> </w:t>
      </w:r>
      <w:r>
        <w:object w:dxaOrig="1538" w:dyaOrig="993" w14:anchorId="799883A7">
          <v:shape id="_x0000_i1046" type="#_x0000_t75" style="width:38.25pt;height:24.75pt;mso-position-horizontal:absolute" o:ole="">
            <v:imagedata r:id="rId17" o:title=""/>
          </v:shape>
          <o:OLEObject Type="Embed" ProgID="Acrobat.Document.DC" ShapeID="_x0000_i1046" DrawAspect="Icon" ObjectID="_1707568694" r:id="rId18"/>
        </w:object>
      </w:r>
    </w:p>
    <w:p w14:paraId="1A557ED9" w14:textId="67051CA0" w:rsidR="00C040DF" w:rsidRDefault="00C040DF" w:rsidP="00C040DF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Logement social</w:t>
      </w:r>
      <w:r>
        <w:rPr>
          <w:color w:val="003300"/>
        </w:rPr>
        <w:t xml:space="preserve"> – </w:t>
      </w:r>
      <w:r>
        <w:rPr>
          <w:color w:val="003300"/>
        </w:rPr>
        <w:t>Note d’actualités 2021 de la compagnie nationale des commissaires aux comptes.</w:t>
      </w:r>
    </w:p>
    <w:p w14:paraId="4A280D30" w14:textId="6C516286" w:rsidR="00C040DF" w:rsidRPr="00C040DF" w:rsidRDefault="00C040DF" w:rsidP="00C040DF">
      <w:pPr>
        <w:spacing w:before="120" w:after="0" w:line="240" w:lineRule="auto"/>
        <w:ind w:left="567"/>
      </w:pPr>
      <w:r w:rsidRPr="00C040DF">
        <w:t>CNCC – Note 2021</w:t>
      </w:r>
      <w:r>
        <w:t xml:space="preserve"> </w:t>
      </w:r>
      <w:r>
        <w:object w:dxaOrig="1538" w:dyaOrig="993" w14:anchorId="70AD1F2B">
          <v:shape id="_x0000_i1052" type="#_x0000_t75" style="width:38.25pt;height:24.75pt;mso-position-horizontal:absolute" o:ole="">
            <v:imagedata r:id="rId19" o:title=""/>
          </v:shape>
          <o:OLEObject Type="Embed" ProgID="Acrobat.Document.DC" ShapeID="_x0000_i1052" DrawAspect="Icon" ObjectID="_1707568695" r:id="rId20"/>
        </w:object>
      </w:r>
    </w:p>
    <w:p w14:paraId="65D86DC2" w14:textId="77777777" w:rsidR="00307714" w:rsidRDefault="00307714" w:rsidP="00B655ED">
      <w:pPr>
        <w:spacing w:before="120" w:after="0" w:line="240" w:lineRule="auto"/>
        <w:rPr>
          <w:b/>
          <w:bCs/>
        </w:rPr>
      </w:pPr>
    </w:p>
    <w:p w14:paraId="077EA3B3" w14:textId="1057619F" w:rsidR="00E935A2" w:rsidRPr="006320BB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738E76A6" w14:textId="0B011F17" w:rsidR="008E34A6" w:rsidRDefault="0046312C" w:rsidP="00B655ED">
      <w:pPr>
        <w:spacing w:before="120" w:after="0" w:line="240" w:lineRule="auto"/>
        <w:rPr>
          <w:color w:val="003300"/>
          <w:u w:val="single"/>
        </w:rPr>
      </w:pPr>
      <w:r w:rsidRPr="00C26B09">
        <w:rPr>
          <w:color w:val="003300"/>
          <w:u w:val="single"/>
        </w:rPr>
        <w:t>Tarifs des notaires</w:t>
      </w:r>
      <w:r>
        <w:rPr>
          <w:color w:val="003300"/>
        </w:rPr>
        <w:t xml:space="preserve"> – Maintien du tarif actuel</w:t>
      </w:r>
      <w:r w:rsidR="00C26B09">
        <w:rPr>
          <w:color w:val="003300"/>
        </w:rPr>
        <w:t xml:space="preserve"> jusqu’au 29 février 2024.</w:t>
      </w:r>
    </w:p>
    <w:p w14:paraId="0E3DB6A3" w14:textId="4512769E" w:rsidR="0046312C" w:rsidRDefault="0046312C" w:rsidP="00CA5564">
      <w:pPr>
        <w:spacing w:before="120" w:after="0" w:line="240" w:lineRule="auto"/>
        <w:ind w:left="567"/>
      </w:pPr>
      <w:hyperlink r:id="rId21" w:history="1">
        <w:r w:rsidRPr="0046312C">
          <w:rPr>
            <w:rStyle w:val="Lienhypertexte"/>
          </w:rPr>
          <w:t>Arrêté du 25 février 2022</w:t>
        </w:r>
      </w:hyperlink>
      <w:r>
        <w:t xml:space="preserve"> fixant les tarifs règlementés des notaires</w:t>
      </w:r>
    </w:p>
    <w:p w14:paraId="17D13BC7" w14:textId="541638D0" w:rsidR="00E935A2" w:rsidRDefault="00AB002C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4B1B6317" w14:textId="50C4E058" w:rsidR="00D83A1C" w:rsidRDefault="00CA5564" w:rsidP="00B655ED">
      <w:pPr>
        <w:spacing w:before="120" w:after="0" w:line="240" w:lineRule="auto"/>
        <w:rPr>
          <w:color w:val="003300"/>
        </w:rPr>
      </w:pPr>
      <w:r w:rsidRPr="00E54B48">
        <w:rPr>
          <w:color w:val="003300"/>
          <w:u w:val="single"/>
        </w:rPr>
        <w:t>Mise à disposition gratuite</w:t>
      </w:r>
      <w:r>
        <w:rPr>
          <w:color w:val="003300"/>
        </w:rPr>
        <w:t xml:space="preserve"> – Elle est de la seule compétence de l’assemblée délibérante.</w:t>
      </w:r>
    </w:p>
    <w:p w14:paraId="2BDF6C35" w14:textId="70DEA827" w:rsidR="00CA5564" w:rsidRDefault="00CA5564" w:rsidP="00CA5564">
      <w:pPr>
        <w:spacing w:before="120" w:after="0" w:line="240" w:lineRule="auto"/>
        <w:ind w:left="567"/>
      </w:pPr>
      <w:hyperlink r:id="rId22" w:history="1">
        <w:r w:rsidRPr="00CA5564">
          <w:rPr>
            <w:rStyle w:val="Lienhypertexte"/>
          </w:rPr>
          <w:t>Réponse n° 25486</w:t>
        </w:r>
      </w:hyperlink>
      <w:r w:rsidRPr="00CA5564">
        <w:t xml:space="preserve"> Darcos, JO Sénat 10/02/2022 p. 756</w:t>
      </w:r>
    </w:p>
    <w:p w14:paraId="13A447DE" w14:textId="77777777" w:rsidR="00CA5564" w:rsidRDefault="00CA5564" w:rsidP="00CA5564">
      <w:pPr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 xml:space="preserve">France Domaine </w:t>
      </w:r>
      <w:r w:rsidRPr="00CA5564">
        <w:rPr>
          <w:color w:val="003300"/>
        </w:rPr>
        <w:t>– Pas question de confier sa mission aux notaires.</w:t>
      </w:r>
    </w:p>
    <w:p w14:paraId="28E5D189" w14:textId="48EB55C4" w:rsidR="00CA5564" w:rsidRDefault="00CA5564" w:rsidP="00CA5564">
      <w:pPr>
        <w:spacing w:before="120" w:after="0" w:line="240" w:lineRule="auto"/>
        <w:ind w:left="567"/>
      </w:pPr>
      <w:hyperlink r:id="rId23" w:history="1">
        <w:r w:rsidRPr="00CA5564">
          <w:rPr>
            <w:rStyle w:val="Lienhypertexte"/>
          </w:rPr>
          <w:t>Réponse n° 43701</w:t>
        </w:r>
      </w:hyperlink>
      <w:r>
        <w:t xml:space="preserve"> Morel-A-L’Huissier JOAN 22/02/2022 p. 1140</w:t>
      </w:r>
    </w:p>
    <w:p w14:paraId="178911B0" w14:textId="50035825" w:rsidR="00E54B48" w:rsidRDefault="00E54B48" w:rsidP="00E54B48">
      <w:pPr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>Domaine public et copropriété</w:t>
      </w:r>
      <w:r>
        <w:rPr>
          <w:color w:val="003300"/>
          <w:u w:val="single"/>
        </w:rPr>
        <w:t xml:space="preserve"> </w:t>
      </w:r>
      <w:r w:rsidRPr="00CA5564">
        <w:rPr>
          <w:color w:val="003300"/>
        </w:rPr>
        <w:t xml:space="preserve">– </w:t>
      </w:r>
      <w:r>
        <w:rPr>
          <w:color w:val="003300"/>
        </w:rPr>
        <w:t>Un cas habituel avec une réponse de même tonneau.</w:t>
      </w:r>
    </w:p>
    <w:p w14:paraId="07462177" w14:textId="763E3299" w:rsidR="00E54B48" w:rsidRPr="00CA5564" w:rsidRDefault="00E54B48" w:rsidP="00CA5564">
      <w:pPr>
        <w:spacing w:before="120" w:after="0" w:line="240" w:lineRule="auto"/>
        <w:ind w:left="567"/>
      </w:pPr>
      <w:hyperlink r:id="rId24" w:history="1">
        <w:r w:rsidRPr="00E54B48">
          <w:rPr>
            <w:rStyle w:val="Lienhypertexte"/>
          </w:rPr>
          <w:t>Réponse 24350</w:t>
        </w:r>
      </w:hyperlink>
      <w:r>
        <w:t xml:space="preserve"> Masson JO Séant 17/02/2022 p. 897</w:t>
      </w:r>
    </w:p>
    <w:p w14:paraId="7D92344F" w14:textId="47094EA8" w:rsidR="00331173" w:rsidRDefault="00331173" w:rsidP="00B655ED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091B52FA" w14:textId="1384BB55" w:rsidR="008E34A6" w:rsidRPr="00E54B48" w:rsidRDefault="00E54B48" w:rsidP="00E54B48">
      <w:pPr>
        <w:spacing w:before="120" w:after="0" w:line="240" w:lineRule="auto"/>
        <w:rPr>
          <w:color w:val="003300"/>
        </w:rPr>
      </w:pPr>
      <w:r w:rsidRPr="00E54B48">
        <w:rPr>
          <w:color w:val="003300"/>
        </w:rPr>
        <w:t>Rien à signaler</w:t>
      </w:r>
    </w:p>
    <w:p w14:paraId="24D1A5D0" w14:textId="58131262" w:rsidR="005A17CC" w:rsidRPr="00142627" w:rsidRDefault="001F3614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249E70FC" w14:textId="51E4AB3D" w:rsidR="001E5D0A" w:rsidRDefault="00B25ECE" w:rsidP="00B655ED">
      <w:pPr>
        <w:spacing w:before="120" w:after="0" w:line="240" w:lineRule="auto"/>
        <w:jc w:val="left"/>
        <w:rPr>
          <w:color w:val="003300"/>
        </w:rPr>
      </w:pPr>
      <w:r w:rsidRPr="00B25ECE">
        <w:rPr>
          <w:color w:val="003300"/>
          <w:u w:val="single"/>
        </w:rPr>
        <w:t>Les marchés publics</w:t>
      </w:r>
      <w:r>
        <w:rPr>
          <w:color w:val="003300"/>
        </w:rPr>
        <w:t xml:space="preserve"> – Au rapport !</w:t>
      </w:r>
    </w:p>
    <w:p w14:paraId="4C8A26D0" w14:textId="61651C73" w:rsidR="00B25ECE" w:rsidRPr="00B25ECE" w:rsidRDefault="00B25ECE" w:rsidP="00B25ECE">
      <w:pPr>
        <w:spacing w:before="120" w:after="0" w:line="240" w:lineRule="auto"/>
        <w:ind w:left="567"/>
        <w:jc w:val="left"/>
      </w:pPr>
      <w:hyperlink r:id="rId25" w:history="1">
        <w:r w:rsidRPr="00B25ECE">
          <w:rPr>
            <w:rStyle w:val="Lienhypertexte"/>
          </w:rPr>
          <w:t>Rapport à la commission européenne</w:t>
        </w:r>
      </w:hyperlink>
    </w:p>
    <w:p w14:paraId="6E1B19DF" w14:textId="710D5264" w:rsidR="00142627" w:rsidRDefault="00142627">
      <w:pPr>
        <w:spacing w:before="0" w:after="0" w:line="240" w:lineRule="auto"/>
        <w:jc w:val="left"/>
      </w:pPr>
      <w:r>
        <w:br w:type="page"/>
      </w:r>
    </w:p>
    <w:p w14:paraId="2649CADA" w14:textId="1544738B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7E11472D" w14:textId="1F9F50CA" w:rsidR="008E34A6" w:rsidRDefault="008E34A6" w:rsidP="008E34A6">
      <w:pPr>
        <w:spacing w:before="120" w:after="120" w:line="240" w:lineRule="auto"/>
        <w:rPr>
          <w:rFonts w:ascii="Times New Roman" w:hAnsi="Times New Roman"/>
          <w:b/>
          <w:szCs w:val="24"/>
        </w:rPr>
      </w:pPr>
    </w:p>
    <w:p w14:paraId="43923003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6" w:tooltip="23/02/2022 : BIC - Exonération des produits de la location ou de la sous-location d'une partie de la résidence principale du bailleur consentie à un prix raisonnable - Actualisation pour 2022 du seuil de tolérance administrative (CGI, art. 35 bis, I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23/02/2022 : BIC - Exonération des produits de la location ou de la sous-location d'une partie de la résidence principale du bailleur consentie à un prix raisonnable - Actualisation pour 2022 du seuil de tolérance administrative (CGI, art. 35 bis, I)</w:t>
        </w:r>
      </w:hyperlink>
    </w:p>
    <w:p w14:paraId="5A48C95E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7" w:tooltip="16/02/2022 : BIC - Simplification de l'obligation déclarative liée à la déclaration des positions symétriques (loi n° 2020-1721 du 29 décembre 2020 de finances pour 2021, art. 181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16/02/2022 : BIC - Simplification de l'obligation déclarative liée à la déclaration des positions symétriques (loi n° 2020-1721 du 29 décembre 2020 de finances pour 2021, art. 181)</w:t>
        </w:r>
      </w:hyperlink>
    </w:p>
    <w:p w14:paraId="3561F2AA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8" w:tooltip="16/02/2022 : BIC - Cas des PME réalisant certaines dépenses d'innovation - Mise en conformité du crédit d’impôt au titre des dépenses d’innovation au regard du droit de l’Union européenne ; augmentation du taux de crédit d’impôt et suppression du forfait des d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16/02/2022 : BIC - Cas des PME réalisant certaines dépenses d'innovation - Mise en conformité du crédit d’impôt au titre des dépenses d’innovation au regard du droit de l’Union européenne ; augmentation du taux de crédit d’impôt et suppression du forfait des dépenses de fonctionnement à compter du 1er janvier 2023 (loi n° 2021-1900 du 30 décembre 2021 de finances pour 2022, art. 83)</w:t>
        </w:r>
      </w:hyperlink>
    </w:p>
    <w:p w14:paraId="09A74398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9" w:tooltip="16/02/2022 : IS - Suppression de l'exonération, prévue au 6° bis du 1 de l’article 207 du code général des impôts (CGI), bénéficiant aux organismes contribuant à l'aménagement urbain et extension du champ d'application de l'exonération, prévue aux 14° et 15° d" w:history="1">
        <w:r w:rsidR="008E34A6" w:rsidRPr="00B655ED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16/02/2022 : IS - Suppression de l'exonération, prévue au 6° bis du 1 de l’article 207 du code général des impôts (CGI), bénéficiant aux organismes contribuant à l'aménagement urbain et extension du champ d'application de l'exonération, prévue aux 14° et 15° du 1 de l'article 207 du CGI, bénéficiant aux sociétés facilitant le logement des salariés et leur mobilité (loi n° 2019-1479 du 28 décembre 2019 de finances pour 2020, art. 29, III-7° et art. 52)</w:t>
        </w:r>
      </w:hyperlink>
    </w:p>
    <w:p w14:paraId="70D8DDE8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0" w:tooltip="16/02/2022 : IS - Prorogation et modification des conditions d’éligibilité au crédit d’impôt en faveur des sociétés constituées pour le rachat du capital d'une société par ses salariés (loi n° 2018-1317 du 28 décembre 2018 de finances pour 2019, art. 110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16/02/2022 : IS - Prorogation et modification des conditions d’éligibilité au crédit d’impôt en faveur des sociétés constituées pour le rachat du capital d'une société par ses salariés (loi n° 2018-1317 du 28 décembre 2018 de finances pour 2019, art. 110)</w:t>
        </w:r>
      </w:hyperlink>
    </w:p>
    <w:p w14:paraId="4AC5F641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1" w:tooltip="16/02/2022 : TVA - Modification des modalités de collecte des données fiscales et des données statistiques en matière d'échanges de biens entre Etats membres de l'Union européenne (loi n° 2021-1900 du 30 décembre 2021 de finances pour 2022, art. 30, I-15°, 16°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16/02/2022 : TVA - Modification des modalités de collecte des données fiscales et des données statistiques en matière d'échanges de biens entre Etats membres de l'Union européenne (loi n° 2021-1900 du 30 décembre 2021 de finances pour 2022, art. 30, I-15°, 16° et 24° et II)</w:t>
        </w:r>
      </w:hyperlink>
    </w:p>
    <w:p w14:paraId="278507E3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2" w:tooltip="16/02/2022 : IF - Exonération des diffuseurs de presse spécialistes - Suppression de la condition relative à la non-appartenance à un réseau commercial (loi n° 2021-1900 du 30 décembre 2021 de finances pour 2022, art. 104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16/02/2022 : IF - Exonération des diffuseurs de presse spécialistes - Suppression de la condition relative à la non-appartenance à un réseau commercial (loi n° 2021-1900 du 30 décembre 2021 de finances pour 2022, art. 104)</w:t>
        </w:r>
      </w:hyperlink>
    </w:p>
    <w:p w14:paraId="358C5500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3" w:tooltip="14/02/2022 : IR - Prorogation de la réduction d'impôt sur le revenu au titre des souscriptions en numéraire au capital d'entreprises de presse (loi n° 2021-1900 du 30 décembre 2021 de finances pour 2022, art. 71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14/02/2022 : IR - Prorogation de la réduction d'impôt sur le revenu au titre des souscriptions en numéraire au capital d'entreprises de presse (loi n° 2021-1900 du 30 décembre 2021 de finances pour 2022, art. 71)</w:t>
        </w:r>
      </w:hyperlink>
    </w:p>
    <w:p w14:paraId="63A5AA0E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4" w:tooltip="09/02/2022 : BNC - Précisions sur le champ d'application de l'exonération des aides octroyées par le fonds de solidarité (loi n° 2021-953 du 19 juillet 2021 de finances rectificative pour 2021, art. 1er)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BNC - Précisions sur le champ d'application de l'exonération des aides octroyées par le fonds de solidarité (loi n° 2021-953 du 19 juillet 2021 de finances rectificative pour 2021, art. 1er)</w:t>
        </w:r>
      </w:hyperlink>
    </w:p>
    <w:p w14:paraId="6579B8BF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5" w:tooltip="09/02/2022 : BNC - Actualisation pour 2022 des seuils et limites de déduction des frais supplémentaires de repas " w:history="1">
        <w:r w:rsidR="008E34A6" w:rsidRPr="00B655ED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09/02/2022 : BNC - Actualisation pour 2022 des seuils et limites de déduction des frais supplémentaires de repas</w:t>
        </w:r>
      </w:hyperlink>
    </w:p>
    <w:p w14:paraId="09B1532D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6" w:tooltip="09/02/2022 : BNC - Modification des conditions d'option pour le régime 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BNC - Modification des conditions d'option pour le régime « micro-BNC » (loi n° 2017-1837 du 30 décembre 2017 de finances pour 2018, art. 22)</w:t>
        </w:r>
      </w:hyperlink>
    </w:p>
    <w:p w14:paraId="72D0AC60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7" w:tooltip="09/02/2022 : RSA - BA - BIC - BNC (sous conditions) - Frais de carburant en euro au kilomètre - Barèmes applicables pour 2021" w:history="1">
        <w:r w:rsidR="008E34A6" w:rsidRPr="00B655ED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09/02/2022 : RSA - BA - BIC - BNC (sous conditions) - Frais de carburant en euro au kilomètre - Barèmes applicables pour 2021</w:t>
        </w:r>
      </w:hyperlink>
    </w:p>
    <w:p w14:paraId="4A71E692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8" w:tooltip="09/02/2022 : IS - Mesures de lutte contre les dispositifs hybrides - Clarification des modalités de réintégration des paiements déduits en France qui sont effectués au titre d'instruments financiers ou qui donnent lieu à une double déduction (loi n° 2021-1900 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 xml:space="preserve">09/02/2022 : IS - Mesures de lutte contre les dispositifs hybrides - Clarification des modalités de réintégration des paiements déduits en France qui sont effectués au titre d'instruments </w:t>
        </w:r>
        <w:r w:rsidR="008E34A6">
          <w:rPr>
            <w:rStyle w:val="Lienhypertexte"/>
            <w:rFonts w:ascii="Open Sans" w:hAnsi="Open Sans" w:cs="Open Sans"/>
            <w:sz w:val="21"/>
            <w:szCs w:val="21"/>
          </w:rPr>
          <w:lastRenderedPageBreak/>
          <w:t>financiers ou qui donnent lieu à une double déduction (loi n° 2021-1900 du 30 décembre 2021 de finances pour 2022, art. 14)</w:t>
        </w:r>
      </w:hyperlink>
    </w:p>
    <w:p w14:paraId="0EA74715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9" w:tooltip="09/02/2022 : TVA - Prorogation de l'application du taux réduit aux produits adaptés à la lutte contre la propagation du virus covid-19 jusqu'au 31 décembre 2022 (loi n° 2021-1900 du 30 décembre 2021 de finances pour 2022, art. 31) - Fin du dispositif des franc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TVA - Prorogation de l'application du taux réduit aux produits adaptés à la lutte contre la propagation du virus covid-19 jusqu'au 31 décembre 2022 (loi n° 2021-1900 du 30 décembre 2021 de finances pour 2022, art. 31) - Fin du dispositif des franchises COVID-19 pour la France le 31 décembre 2021 (Décision [UE] 2021/2313 du 22 décembre 2021)</w:t>
        </w:r>
      </w:hyperlink>
    </w:p>
    <w:p w14:paraId="425EB484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0" w:tooltip="09/02/2022 : CVAE - Exonérations et abattements facultatifs applicables dans certaines zones urbaines en difficulté - Actualisation des plafonds pour 2021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CVAE - Exonérations et abattements facultatifs applicables dans certaines zones urbaines en difficulté - Actualisation des plafonds pour 2021</w:t>
        </w:r>
      </w:hyperlink>
    </w:p>
    <w:p w14:paraId="463FF528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1" w:tooltip="09/02/2022 : IF - AUT - Taxe annuelle sur les locaux à usage de bureaux, les locaux commerciaux, les locaux de stockage et les surfaces de stationnement perçue en Île-de-France et taxe annuelle sur les surfaces de stationnement perçue au profit de la région d'" w:history="1">
        <w:r w:rsidR="008E34A6" w:rsidRPr="008E34A6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09/02/2022 : IF - AUT - Taxe annuelle sur les locaux à usage de bureaux, les locaux commerciaux, les locaux de stockage et les surfaces de stationnement perçue en Île-de-France et taxe annuelle sur les surfaces de stationnement perçue au profit de la région d'Île-de-France - Fixation des tarifs au titre de 2022 - Jurisprudences (CE, 20 octobre 2021, Société Transports du Val d’Oise, n° 448562 ; CE, 15 novembre 2021, Société Natixis Bail, n° 439014)</w:t>
        </w:r>
      </w:hyperlink>
    </w:p>
    <w:p w14:paraId="1EACEB21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2" w:tooltip="09/02/2022 : IF - Retrait des commentaires liés à la tarification des déplacements effectués au moyen de véhicules terrestres à moteur dite 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IF - Retrait des commentaires liés à la tarification des déplacements effectués au moyen de véhicules terrestres à moteur dite « péage urbain » (loi n° 2021-1900 du 30 décembre 2021 de finances pour 2022, art. 98)</w:t>
        </w:r>
      </w:hyperlink>
    </w:p>
    <w:p w14:paraId="6AC52488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3" w:tooltip="09/02/2022 : CF - Retrait des commentaires relatifs à l'agrément laser d'imprimés fiscaux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CF - Retrait des commentaires relatifs à l'agrément laser d'imprimés fiscaux</w:t>
        </w:r>
      </w:hyperlink>
    </w:p>
    <w:p w14:paraId="2817638D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4" w:tooltip="09/02/2022 : DJC - Actualisation des commentaires relatifs à l'attestation de régularité fiscale à la suite de l'entrée en vigueur du prélèvement à la source de l'impôt sur le revenu et du code de la commande publique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09/02/2022 : DJC - Actualisation des commentaires relatifs à l'attestation de régularité fiscale à la suite de l'entrée en vigueur du prélèvement à la source de l'impôt sur le revenu et du code de la commande publique</w:t>
        </w:r>
      </w:hyperlink>
    </w:p>
    <w:p w14:paraId="2452F2AA" w14:textId="77777777" w:rsidR="008E34A6" w:rsidRDefault="001F7999" w:rsidP="008E34A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45" w:tooltip="02/02/2022 : IS - Modalités de détermination du bénéfice d'imputation pour l'application du dispositif de report en arrière des déficits - Exclusion de la fraction du bénéfice ayant donné lieu à un impôt payé au moyen d'une réduction d'impôt (loi n° 2021-1900 " w:history="1">
        <w:r w:rsidR="008E34A6">
          <w:rPr>
            <w:rStyle w:val="Lienhypertexte"/>
            <w:rFonts w:ascii="Open Sans" w:hAnsi="Open Sans" w:cs="Open Sans"/>
            <w:sz w:val="21"/>
            <w:szCs w:val="21"/>
          </w:rPr>
          <w:t>02/02/2022 : IS - Modalités de détermination du bénéfice d'imputation pour l'application du dispositif de report en arrière des déficits - Exclusion de la fraction du bénéfice ayant donné lieu à un impôt payé au moyen d'une réduction d'impôt (loi n° 2021-1900 du 30 décembre 2021 de finances pour 2022, art. 15)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46"/>
      <w:headerReference w:type="first" r:id="rId47"/>
      <w:footerReference w:type="first" r:id="rId48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C23E7" w14:textId="77777777" w:rsidR="001F7999" w:rsidRDefault="001F7999">
      <w:r>
        <w:separator/>
      </w:r>
    </w:p>
  </w:endnote>
  <w:endnote w:type="continuationSeparator" w:id="0">
    <w:p w14:paraId="2D4B2534" w14:textId="77777777" w:rsidR="001F7999" w:rsidRDefault="001F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6A1D43-483E-47B3-96DF-B4F27307FC82}"/>
    <w:embedBold r:id="rId2" w:fontKey="{969728D8-C1EF-4097-B6CB-698F9C66AB35}"/>
    <w:embedBoldItalic r:id="rId3" w:fontKey="{0D77C194-DC54-4995-9B77-28C77666B1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4446AA2E-2102-40C8-9CEB-C05496F9F9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8D3A6345-31E7-4F57-B4AD-515A9AC0A1C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E2A46051-25FD-4272-9EBE-2A6C8F033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E9DCE" w14:textId="77777777" w:rsidR="001F7999" w:rsidRDefault="001F7999">
      <w:r>
        <w:separator/>
      </w:r>
    </w:p>
  </w:footnote>
  <w:footnote w:type="continuationSeparator" w:id="0">
    <w:p w14:paraId="102E0C43" w14:textId="77777777" w:rsidR="001F7999" w:rsidRDefault="001F7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1A5C2AB3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>
            <w:rPr>
              <w:noProof/>
              <w:sz w:val="20"/>
            </w:rPr>
            <w:t>Comptes-La revue -202</w:t>
          </w:r>
          <w:r w:rsidR="00307714">
            <w:rPr>
              <w:noProof/>
              <w:sz w:val="20"/>
            </w:rPr>
            <w:t>2-0</w:t>
          </w:r>
          <w:r w:rsidR="00B655ED">
            <w:rPr>
              <w:noProof/>
              <w:sz w:val="20"/>
            </w:rPr>
            <w:t>2</w:t>
          </w:r>
          <w:r>
            <w:rPr>
              <w:sz w:val="20"/>
            </w:rPr>
            <w:fldChar w:fldCharType="end"/>
          </w:r>
        </w:p>
        <w:p w14:paraId="6D4A75FB" w14:textId="2E88FB07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B655ED">
            <w:rPr>
              <w:sz w:val="20"/>
            </w:rPr>
            <w:t>28 février</w:t>
          </w:r>
          <w:r w:rsidR="0048009B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r w:rsidRPr="00F5762B">
            <w:rPr>
              <w:color w:val="143300"/>
              <w:spacing w:val="16"/>
              <w:w w:val="97"/>
              <w:sz w:val="20"/>
            </w:rPr>
            <w:t>s.a.r.l.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47" type="#_x0000_t75" style="width:3in;height:3in" o:bullet="t"/>
    </w:pict>
  </w:numPicBullet>
  <w:numPicBullet w:numPicBulletId="1">
    <w:pict>
      <v:shape id="_x0000_i3548" type="#_x0000_t75" style="width:3in;height:3in" o:bullet="t"/>
    </w:pict>
  </w:numPicBullet>
  <w:numPicBullet w:numPicBulletId="2">
    <w:pict>
      <v:shape id="_x0000_i3549" type="#_x0000_t75" style="width:3in;height:3in" o:bullet="t"/>
    </w:pict>
  </w:numPicBullet>
  <w:numPicBullet w:numPicBulletId="3">
    <w:pict>
      <v:shape id="_x0000_i3550" type="#_x0000_t75" style="width:3in;height:3in" o:bullet="t"/>
    </w:pict>
  </w:numPicBullet>
  <w:numPicBullet w:numPicBulletId="4">
    <w:pict>
      <v:shape id="_x0000_i3551" type="#_x0000_t75" style="width:3in;height:3in" o:bullet="t"/>
    </w:pict>
  </w:numPicBullet>
  <w:numPicBullet w:numPicBulletId="5">
    <w:pict>
      <v:shape id="_x0000_i3552" type="#_x0000_t75" style="width:3in;height:3in" o:bullet="t"/>
    </w:pict>
  </w:numPicBullet>
  <w:numPicBullet w:numPicBulletId="6">
    <w:pict>
      <v:shape id="_x0000_i3553" type="#_x0000_t75" style="width:3in;height:3in" o:bullet="t"/>
    </w:pict>
  </w:numPicBullet>
  <w:numPicBullet w:numPicBulletId="7">
    <w:pict>
      <v:shape id="_x0000_i3554" type="#_x0000_t75" style="width:3in;height:3in" o:bullet="t"/>
    </w:pict>
  </w:numPicBullet>
  <w:numPicBullet w:numPicBulletId="8">
    <w:pict>
      <v:shape id="_x0000_i3555" type="#_x0000_t75" style="width:3in;height:3in" o:bullet="t"/>
    </w:pict>
  </w:numPicBullet>
  <w:numPicBullet w:numPicBulletId="9">
    <w:pict>
      <v:shape id="_x0000_i3556" type="#_x0000_t75" style="width:3in;height:3in" o:bullet="t"/>
    </w:pict>
  </w:numPicBullet>
  <w:numPicBullet w:numPicBulletId="10">
    <w:pict>
      <v:shape id="_x0000_i3557" type="#_x0000_t75" style="width:3in;height:3in" o:bullet="t"/>
    </w:pict>
  </w:numPicBullet>
  <w:numPicBullet w:numPicBulletId="11">
    <w:pict>
      <v:shape id="_x0000_i3558" type="#_x0000_t75" style="width:3in;height:3in" o:bullet="t"/>
    </w:pict>
  </w:numPicBullet>
  <w:numPicBullet w:numPicBulletId="12">
    <w:pict>
      <v:shape id="_x0000_i3559" type="#_x0000_t75" style="width:3in;height:3in" o:bullet="t"/>
    </w:pict>
  </w:numPicBullet>
  <w:numPicBullet w:numPicBulletId="13">
    <w:pict>
      <v:shape id="_x0000_i3560" type="#_x0000_t75" style="width:3in;height:3in" o:bullet="t"/>
    </w:pict>
  </w:numPicBullet>
  <w:numPicBullet w:numPicBulletId="14">
    <w:pict>
      <v:shape id="_x0000_i3561" type="#_x0000_t75" style="width:3in;height:3in" o:bullet="t"/>
    </w:pict>
  </w:numPicBullet>
  <w:numPicBullet w:numPicBulletId="15">
    <w:pict>
      <v:shape id="_x0000_i3562" type="#_x0000_t75" style="width:3in;height:3in" o:bullet="t"/>
    </w:pict>
  </w:numPicBullet>
  <w:numPicBullet w:numPicBulletId="16">
    <w:pict>
      <v:shape id="_x0000_i3563" type="#_x0000_t75" style="width:3in;height:3in" o:bullet="t"/>
    </w:pict>
  </w:numPicBullet>
  <w:numPicBullet w:numPicBulletId="17">
    <w:pict>
      <v:shape id="_x0000_i3564" type="#_x0000_t75" style="width:3in;height:3in" o:bullet="t"/>
    </w:pict>
  </w:numPicBullet>
  <w:numPicBullet w:numPicBulletId="18">
    <w:pict>
      <v:shape id="_x0000_i3565" type="#_x0000_t75" style="width:3in;height:3in" o:bullet="t"/>
    </w:pict>
  </w:numPicBullet>
  <w:numPicBullet w:numPicBulletId="19">
    <w:pict>
      <v:shape id="_x0000_i3566" type="#_x0000_t75" style="width:3in;height:3in" o:bullet="t"/>
    </w:pict>
  </w:numPicBullet>
  <w:abstractNum w:abstractNumId="0" w15:restartNumberingAfterBreak="0">
    <w:nsid w:val="06C035E0"/>
    <w:multiLevelType w:val="multilevel"/>
    <w:tmpl w:val="33E6595E"/>
    <w:lvl w:ilvl="0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4F03BC"/>
    <w:multiLevelType w:val="multilevel"/>
    <w:tmpl w:val="CDFC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67B06"/>
    <w:multiLevelType w:val="multilevel"/>
    <w:tmpl w:val="BF50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C44DF"/>
    <w:multiLevelType w:val="multilevel"/>
    <w:tmpl w:val="B680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B7443"/>
    <w:multiLevelType w:val="multilevel"/>
    <w:tmpl w:val="056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E07002"/>
    <w:multiLevelType w:val="multilevel"/>
    <w:tmpl w:val="8FC0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5541D3"/>
    <w:multiLevelType w:val="multilevel"/>
    <w:tmpl w:val="FF8C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926610"/>
    <w:multiLevelType w:val="hybridMultilevel"/>
    <w:tmpl w:val="8FA2A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D4431E"/>
    <w:multiLevelType w:val="multilevel"/>
    <w:tmpl w:val="501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E51AC6"/>
    <w:multiLevelType w:val="multilevel"/>
    <w:tmpl w:val="A9E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0"/>
  </w:num>
  <w:num w:numId="5">
    <w:abstractNumId w:val="33"/>
  </w:num>
  <w:num w:numId="6">
    <w:abstractNumId w:val="28"/>
  </w:num>
  <w:num w:numId="7">
    <w:abstractNumId w:val="11"/>
  </w:num>
  <w:num w:numId="8">
    <w:abstractNumId w:val="22"/>
  </w:num>
  <w:num w:numId="9">
    <w:abstractNumId w:val="27"/>
  </w:num>
  <w:num w:numId="10">
    <w:abstractNumId w:val="23"/>
  </w:num>
  <w:num w:numId="11">
    <w:abstractNumId w:val="19"/>
  </w:num>
  <w:num w:numId="12">
    <w:abstractNumId w:val="20"/>
  </w:num>
  <w:num w:numId="13">
    <w:abstractNumId w:val="41"/>
  </w:num>
  <w:num w:numId="14">
    <w:abstractNumId w:val="31"/>
  </w:num>
  <w:num w:numId="15">
    <w:abstractNumId w:val="34"/>
  </w:num>
  <w:num w:numId="16">
    <w:abstractNumId w:val="3"/>
  </w:num>
  <w:num w:numId="17">
    <w:abstractNumId w:val="35"/>
  </w:num>
  <w:num w:numId="18">
    <w:abstractNumId w:val="25"/>
  </w:num>
  <w:num w:numId="19">
    <w:abstractNumId w:val="30"/>
  </w:num>
  <w:num w:numId="20">
    <w:abstractNumId w:val="32"/>
  </w:num>
  <w:num w:numId="21">
    <w:abstractNumId w:val="36"/>
  </w:num>
  <w:num w:numId="22">
    <w:abstractNumId w:val="38"/>
  </w:num>
  <w:num w:numId="23">
    <w:abstractNumId w:val="5"/>
  </w:num>
  <w:num w:numId="24">
    <w:abstractNumId w:val="24"/>
  </w:num>
  <w:num w:numId="25">
    <w:abstractNumId w:val="12"/>
  </w:num>
  <w:num w:numId="26">
    <w:abstractNumId w:val="16"/>
  </w:num>
  <w:num w:numId="27">
    <w:abstractNumId w:val="26"/>
  </w:num>
  <w:num w:numId="28">
    <w:abstractNumId w:val="14"/>
  </w:num>
  <w:num w:numId="29">
    <w:abstractNumId w:val="4"/>
  </w:num>
  <w:num w:numId="30">
    <w:abstractNumId w:val="17"/>
  </w:num>
  <w:num w:numId="31">
    <w:abstractNumId w:val="42"/>
  </w:num>
  <w:num w:numId="32">
    <w:abstractNumId w:val="37"/>
  </w:num>
  <w:num w:numId="33">
    <w:abstractNumId w:val="2"/>
  </w:num>
  <w:num w:numId="34">
    <w:abstractNumId w:val="29"/>
    <w:lvlOverride w:ilvl="0">
      <w:startOverride w:val="17"/>
    </w:lvlOverride>
  </w:num>
  <w:num w:numId="35">
    <w:abstractNumId w:val="29"/>
    <w:lvlOverride w:ilvl="0">
      <w:startOverride w:val="18"/>
    </w:lvlOverride>
  </w:num>
  <w:num w:numId="36">
    <w:abstractNumId w:val="29"/>
    <w:lvlOverride w:ilvl="0">
      <w:startOverride w:val="19"/>
    </w:lvlOverride>
  </w:num>
  <w:num w:numId="37">
    <w:abstractNumId w:val="29"/>
    <w:lvlOverride w:ilvl="0">
      <w:startOverride w:val="20"/>
    </w:lvlOverride>
  </w:num>
  <w:num w:numId="38">
    <w:abstractNumId w:val="29"/>
    <w:lvlOverride w:ilvl="0">
      <w:startOverride w:val="21"/>
    </w:lvlOverride>
  </w:num>
  <w:num w:numId="39">
    <w:abstractNumId w:val="29"/>
    <w:lvlOverride w:ilvl="0">
      <w:startOverride w:val="22"/>
    </w:lvlOverride>
  </w:num>
  <w:num w:numId="40">
    <w:abstractNumId w:val="29"/>
    <w:lvlOverride w:ilvl="0">
      <w:startOverride w:val="23"/>
    </w:lvlOverride>
  </w:num>
  <w:num w:numId="41">
    <w:abstractNumId w:val="18"/>
  </w:num>
  <w:num w:numId="42">
    <w:abstractNumId w:val="0"/>
  </w:num>
  <w:num w:numId="43">
    <w:abstractNumId w:val="10"/>
  </w:num>
  <w:num w:numId="44">
    <w:abstractNumId w:val="39"/>
  </w:num>
  <w:num w:numId="45">
    <w:abstractNumId w:val="15"/>
  </w:num>
  <w:num w:numId="46">
    <w:abstractNumId w:val="21"/>
  </w:num>
  <w:num w:numId="47">
    <w:abstractNumId w:val="9"/>
  </w:num>
  <w:num w:numId="48">
    <w:abstractNumId w:val="13"/>
  </w:num>
  <w:num w:numId="4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401"/>
    <w:rsid w:val="00012D11"/>
    <w:rsid w:val="000147D2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5B52"/>
    <w:rsid w:val="000467C1"/>
    <w:rsid w:val="00046CB6"/>
    <w:rsid w:val="00046E70"/>
    <w:rsid w:val="0005057B"/>
    <w:rsid w:val="00050B4B"/>
    <w:rsid w:val="00051274"/>
    <w:rsid w:val="00051EAE"/>
    <w:rsid w:val="00051ECF"/>
    <w:rsid w:val="0005293C"/>
    <w:rsid w:val="00052F47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80DE8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07714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434F"/>
    <w:rsid w:val="003B5B63"/>
    <w:rsid w:val="003B70A3"/>
    <w:rsid w:val="003B70C5"/>
    <w:rsid w:val="003B715D"/>
    <w:rsid w:val="003C0356"/>
    <w:rsid w:val="003C0719"/>
    <w:rsid w:val="003C0A8D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57E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D6E4D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149A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583"/>
    <w:rsid w:val="0099095E"/>
    <w:rsid w:val="00990B2C"/>
    <w:rsid w:val="00990E89"/>
    <w:rsid w:val="0099114A"/>
    <w:rsid w:val="00991A63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3171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7858"/>
    <w:rsid w:val="00AB7A79"/>
    <w:rsid w:val="00AB7F89"/>
    <w:rsid w:val="00AC0915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59E"/>
    <w:rsid w:val="00BF7355"/>
    <w:rsid w:val="00C000E0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72A5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904"/>
    <w:rsid w:val="00D155D9"/>
    <w:rsid w:val="00D1561B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2601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gifrance.gouv.fr/jorf/id/JORFTEXT000045160753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bofip.impots.gouv.fr/bofip/13530-PGP.html/ACTU-2022-00054" TargetMode="External"/><Relationship Id="rId39" Type="http://schemas.openxmlformats.org/officeDocument/2006/relationships/hyperlink" Target="https://bofip.impots.gouv.fr/bofip/13470-PGP.html/ACTU-2022-000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download/file/67e3PrXr3m6xweOBBKXMaiRtmPcKmvLkwxoFKsc5r-c=/JOE_TEXTE" TargetMode="External"/><Relationship Id="rId34" Type="http://schemas.openxmlformats.org/officeDocument/2006/relationships/hyperlink" Target="https://bofip.impots.gouv.fr/bofip/13476-PGP.html/ACTU-2022-00013" TargetMode="External"/><Relationship Id="rId42" Type="http://schemas.openxmlformats.org/officeDocument/2006/relationships/hyperlink" Target="https://bofip.impots.gouv.fr/bofip/13505-PGP.html/ACTU-2022-00034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ofip.impots.gouv.fr/bofip/13504-PGP.html/ACTU-2022-00033" TargetMode="External"/><Relationship Id="rId17" Type="http://schemas.openxmlformats.org/officeDocument/2006/relationships/image" Target="media/image1.emf"/><Relationship Id="rId25" Type="http://schemas.openxmlformats.org/officeDocument/2006/relationships/hyperlink" Target="https://www.economie.gouv.fr/files/files/directions_services/daj/20210712_Rapport-CE-application-r%C3%A9glementation-VF.pdf?v=1645103168" TargetMode="External"/><Relationship Id="rId33" Type="http://schemas.openxmlformats.org/officeDocument/2006/relationships/hyperlink" Target="https://bofip.impots.gouv.fr/bofip/13486-PGP.html/ACTU-2022-00021" TargetMode="External"/><Relationship Id="rId38" Type="http://schemas.openxmlformats.org/officeDocument/2006/relationships/hyperlink" Target="https://bofip.impots.gouv.fr/bofip/13477-PGP.html/ACTU-2022-00014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nc.gouv.fr/files/live/sites/anc/files/contributed/ANC/1_Normes_fran%c3%a7aises/Reglements/2022/projet-rglt-modernisation-etats-financiers/Fiches_modernisation-des-etats-financiers.pdf" TargetMode="External"/><Relationship Id="rId20" Type="http://schemas.openxmlformats.org/officeDocument/2006/relationships/oleObject" Target="embeddings/oleObject2.bin"/><Relationship Id="rId29" Type="http://schemas.openxmlformats.org/officeDocument/2006/relationships/hyperlink" Target="https://bofip.impots.gouv.fr/bofip/12437-PGP.html/ACTU-2020-00222" TargetMode="External"/><Relationship Id="rId41" Type="http://schemas.openxmlformats.org/officeDocument/2006/relationships/hyperlink" Target="https://bofip.impots.gouv.fr/bofip/13424-PGP.html/ACTU-2021-003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fip.impots.gouv.fr/bofip/13491-PGP.html/ACTU-2022-00025" TargetMode="External"/><Relationship Id="rId24" Type="http://schemas.openxmlformats.org/officeDocument/2006/relationships/hyperlink" Target="http://www.senat.fr/basile/visio.do?id=qSEQ210924350&amp;idtable=q402142|q402011|q401971|q401732|q401428|q401611|q401623|q401046|q401121|q401189&amp;_na=QE&amp;rch=qa&amp;de=20220217&amp;au=20220218&amp;dp=1+an&amp;radio=deau&amp;date=dateJORep&amp;appr=text&amp;aff=ar&amp;tri=dd&amp;off=60&amp;afd=ppr&amp;afd=ppl&amp;afd=pjl&amp;afd=cvn" TargetMode="External"/><Relationship Id="rId32" Type="http://schemas.openxmlformats.org/officeDocument/2006/relationships/hyperlink" Target="https://bofip.impots.gouv.fr/bofip/13446-PGP.html/ACTU-2022-00002" TargetMode="External"/><Relationship Id="rId37" Type="http://schemas.openxmlformats.org/officeDocument/2006/relationships/hyperlink" Target="https://bofip.impots.gouv.fr/bofip/13504-PGP.html/ACTU-2022-00033" TargetMode="External"/><Relationship Id="rId40" Type="http://schemas.openxmlformats.org/officeDocument/2006/relationships/hyperlink" Target="https://bofip.impots.gouv.fr/bofip/13499-PGP.html/ACTU-2022-00029" TargetMode="External"/><Relationship Id="rId45" Type="http://schemas.openxmlformats.org/officeDocument/2006/relationships/hyperlink" Target="https://bofip.impots.gouv.fr/bofip/13409-PGP.html/ACTU-2021-003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nc.gouv.fr/files/live/sites/anc/files/contributed/ANC/1_Normes_fran%c3%a7aises/Reglements/2022/projet-rglt-modernisation-etats-financiers/Projet_modernisation-des-etats-financiers.pdf" TargetMode="External"/><Relationship Id="rId23" Type="http://schemas.openxmlformats.org/officeDocument/2006/relationships/hyperlink" Target="https://questions.assemblee-nationale.fr/q15/15-43701QE.htm" TargetMode="External"/><Relationship Id="rId28" Type="http://schemas.openxmlformats.org/officeDocument/2006/relationships/hyperlink" Target="https://bofip.impots.gouv.fr/bofip/13507-PGP.html/ACTU-2022-00035" TargetMode="External"/><Relationship Id="rId36" Type="http://schemas.openxmlformats.org/officeDocument/2006/relationships/hyperlink" Target="https://bofip.impots.gouv.fr/bofip/13514-PGP.html/ACTU-2022-00042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bofip.impots.gouv.fr/bofip/13424-PGP.html/ACTU-2021-00312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bofip.impots.gouv.fr/bofip/13366-PGP.html/ACTU-2021-00285" TargetMode="External"/><Relationship Id="rId44" Type="http://schemas.openxmlformats.org/officeDocument/2006/relationships/hyperlink" Target="https://bofip.impots.gouv.fr/bofip/13238-PGP.html/ACTU-2021-002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estions.assemblee-nationale.fr/q15/15-42486QE.htm" TargetMode="External"/><Relationship Id="rId14" Type="http://schemas.openxmlformats.org/officeDocument/2006/relationships/hyperlink" Target="https://www.legifrance.gouv.fr/jorf/id/JORFTEXT000045149403" TargetMode="External"/><Relationship Id="rId22" Type="http://schemas.openxmlformats.org/officeDocument/2006/relationships/hyperlink" Target="http://www.senat.fr/basile/visio.do?id=qSEQ211125486&amp;idtable=q405780|q405830|q405936|q405958|q406080|q406104|q406114|q406118|q406121|q406125&amp;_na=QE&amp;rch=qa&amp;de=20220209&amp;au=20220211&amp;dp=1+an&amp;radio=deau&amp;date=dateJORep&amp;appr=text&amp;aff=ar&amp;tri=dd&amp;off=30&amp;afd=ppr&amp;afd=ppl&amp;afd=pjl&amp;afd=cvn" TargetMode="External"/><Relationship Id="rId27" Type="http://schemas.openxmlformats.org/officeDocument/2006/relationships/hyperlink" Target="https://bofip.impots.gouv.fr/bofip/13090-PGP.html/ACTU-2021-00184" TargetMode="External"/><Relationship Id="rId30" Type="http://schemas.openxmlformats.org/officeDocument/2006/relationships/hyperlink" Target="https://bofip.impots.gouv.fr/bofip/12522-PGP.html/ACTU-2020-00256" TargetMode="External"/><Relationship Id="rId35" Type="http://schemas.openxmlformats.org/officeDocument/2006/relationships/hyperlink" Target="https://bofip.impots.gouv.fr/bofip/13491-PGP.html/ACTU-2022-00025" TargetMode="External"/><Relationship Id="rId43" Type="http://schemas.openxmlformats.org/officeDocument/2006/relationships/hyperlink" Target="https://bofip.impots.gouv.fr/bofip/13248-PGP.html/ACTU-2021-00236" TargetMode="External"/><Relationship Id="rId48" Type="http://schemas.openxmlformats.org/officeDocument/2006/relationships/footer" Target="footer1.xml"/><Relationship Id="rId8" Type="http://schemas.openxmlformats.org/officeDocument/2006/relationships/hyperlink" Target="https://bofip.impots.gouv.fr/bofip/12437-PGP.html/ACTU-2020-0022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5</Pages>
  <Words>2827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18344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86</cp:revision>
  <cp:lastPrinted>2020-08-04T09:31:00Z</cp:lastPrinted>
  <dcterms:created xsi:type="dcterms:W3CDTF">2021-03-04T15:01:00Z</dcterms:created>
  <dcterms:modified xsi:type="dcterms:W3CDTF">2022-02-28T14:52:00Z</dcterms:modified>
</cp:coreProperties>
</file>