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3AB35C8E"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307714">
              <w:rPr>
                <w:rFonts w:ascii="Times New Roman" w:eastAsia="Times New Roman" w:hAnsi="Times New Roman"/>
                <w:noProof/>
                <w:sz w:val="20"/>
              </w:rPr>
              <w:t>2-01</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18A68676" w:rsidR="003565C4" w:rsidRPr="00990583" w:rsidRDefault="00E911FE" w:rsidP="00E911FE">
            <w:pPr>
              <w:pStyle w:val="Corpsdetexte"/>
              <w:spacing w:before="0" w:after="0"/>
              <w:ind w:left="-8"/>
            </w:pPr>
            <w:r w:rsidRPr="00990583">
              <w:t>Paris</w:t>
            </w:r>
            <w:r w:rsidR="00B37B52" w:rsidRPr="00990583">
              <w:t xml:space="preserve">, le </w:t>
            </w:r>
            <w:r w:rsidR="008A3BD3">
              <w:t>31</w:t>
            </w:r>
            <w:r w:rsidR="0048009B">
              <w:t xml:space="preserve"> </w:t>
            </w:r>
            <w:r w:rsidR="00307714">
              <w:t>janvier</w:t>
            </w:r>
            <w:r w:rsidR="0048009B">
              <w:t xml:space="preserve"> </w:t>
            </w:r>
            <w:r w:rsidR="00A57E3D" w:rsidRPr="00990583">
              <w:t>202</w:t>
            </w:r>
            <w:r w:rsidR="00307714">
              <w:t>2</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0CAC1384" w:rsidR="00D1561B" w:rsidRDefault="00596118" w:rsidP="00A01213">
      <w:pPr>
        <w:spacing w:before="120" w:after="0" w:line="240" w:lineRule="auto"/>
        <w:ind w:left="1701" w:hanging="1701"/>
      </w:pPr>
      <w:r w:rsidRPr="00122165">
        <w:rPr>
          <w:b/>
        </w:rPr>
        <w:t>IS :</w:t>
      </w:r>
      <w:r w:rsidR="00D47E79">
        <w:t xml:space="preserve"> </w:t>
      </w:r>
      <w:r w:rsidR="00D47E79">
        <w:tab/>
      </w:r>
      <w:r w:rsidR="002855B4">
        <w:t>Exonération de taxe foncière pour le logement intermédiaire, remplacée par une créance d’impôt sur les sociétés -</w:t>
      </w:r>
    </w:p>
    <w:p w14:paraId="073D1CB1" w14:textId="46239D93" w:rsidR="00916F7D" w:rsidRDefault="00596118" w:rsidP="00A01213">
      <w:pPr>
        <w:spacing w:before="120" w:after="0" w:line="240" w:lineRule="auto"/>
        <w:ind w:left="1701" w:hanging="1701"/>
      </w:pPr>
      <w:r w:rsidRPr="00122165">
        <w:rPr>
          <w:b/>
        </w:rPr>
        <w:t>TVA :</w:t>
      </w:r>
      <w:r w:rsidR="00DB56D6">
        <w:t xml:space="preserve"> </w:t>
      </w:r>
      <w:r w:rsidR="00DB56D6">
        <w:tab/>
      </w:r>
      <w:r w:rsidR="002855B4">
        <w:t>TVA à 5,5% pour le PLS -</w:t>
      </w:r>
    </w:p>
    <w:p w14:paraId="4E8276DC" w14:textId="5722A9D1" w:rsidR="001261C0" w:rsidRDefault="00596118" w:rsidP="00A01213">
      <w:pPr>
        <w:spacing w:before="120" w:after="0" w:line="240" w:lineRule="auto"/>
        <w:ind w:left="1701" w:hanging="1701"/>
      </w:pPr>
      <w:r w:rsidRPr="00122165">
        <w:rPr>
          <w:b/>
        </w:rPr>
        <w:t>Locaux :</w:t>
      </w:r>
      <w:r w:rsidR="004A7406">
        <w:tab/>
      </w:r>
      <w:r w:rsidR="00ED2D63">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559902EB" w:rsidR="00B50E23" w:rsidRDefault="00596118" w:rsidP="00A01213">
      <w:pPr>
        <w:spacing w:before="120" w:after="0" w:line="240" w:lineRule="auto"/>
        <w:ind w:left="1701" w:hanging="1701"/>
      </w:pPr>
      <w:r w:rsidRPr="00122165">
        <w:rPr>
          <w:b/>
        </w:rPr>
        <w:t>Divers</w:t>
      </w:r>
      <w:r w:rsidR="004A7406">
        <w:t xml:space="preserve"> :</w:t>
      </w:r>
      <w:r w:rsidR="004A7406">
        <w:tab/>
      </w:r>
      <w:r w:rsidR="002855B4">
        <w:t>Tarifs 2022 pour la taxe d’aménagement, pour la redevance d’archéologie – Mention du net imposable sur les bulletins de salaire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29D64CB9" w:rsidR="00B54BDA" w:rsidRDefault="00596118" w:rsidP="00A01213">
      <w:pPr>
        <w:spacing w:before="120" w:after="0" w:line="240" w:lineRule="auto"/>
        <w:ind w:left="1701" w:hanging="1701"/>
      </w:pPr>
      <w:r w:rsidRPr="00122165">
        <w:rPr>
          <w:b/>
        </w:rPr>
        <w:t>Publique :</w:t>
      </w:r>
      <w:r w:rsidR="00B00EF7">
        <w:t xml:space="preserve"> </w:t>
      </w:r>
      <w:r w:rsidR="00B00EF7">
        <w:tab/>
      </w:r>
      <w:r w:rsidR="002855B4">
        <w:t>Mise à jour de nomenclatures : M…. -</w:t>
      </w:r>
    </w:p>
    <w:p w14:paraId="5F6B1C19" w14:textId="3D59361F" w:rsidR="005A391C" w:rsidRDefault="00596118" w:rsidP="00A01213">
      <w:pPr>
        <w:spacing w:before="120" w:after="0" w:line="240" w:lineRule="auto"/>
        <w:ind w:left="1701" w:hanging="1701"/>
      </w:pPr>
      <w:r w:rsidRPr="00122165">
        <w:rPr>
          <w:b/>
        </w:rPr>
        <w:t>Privée :</w:t>
      </w:r>
      <w:r w:rsidR="00B00EF7">
        <w:t xml:space="preserve"> </w:t>
      </w:r>
      <w:r w:rsidR="00B00EF7">
        <w:tab/>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422785EE" w:rsidR="00B54BDA" w:rsidRDefault="00596118" w:rsidP="00A01213">
      <w:pPr>
        <w:spacing w:before="120" w:after="0" w:line="240" w:lineRule="auto"/>
        <w:ind w:left="1701" w:hanging="1701"/>
      </w:pPr>
      <w:r w:rsidRPr="00122165">
        <w:rPr>
          <w:b/>
        </w:rPr>
        <w:t>Textes :</w:t>
      </w:r>
      <w:r>
        <w:t xml:space="preserve"> </w:t>
      </w:r>
      <w:r w:rsidR="00223947">
        <w:tab/>
      </w:r>
      <w:r w:rsidR="002855B4">
        <w:t xml:space="preserve">La nouvelle convention APL des foyers – Les plafonds de ressources 2022 du logement social – </w:t>
      </w:r>
      <w:r w:rsidR="00D24079">
        <w:t>L</w:t>
      </w:r>
      <w:r w:rsidR="002855B4">
        <w:t xml:space="preserve">es </w:t>
      </w:r>
      <w:r w:rsidR="00D24079">
        <w:t>valeurs</w:t>
      </w:r>
      <w:r w:rsidR="002855B4">
        <w:t xml:space="preserve"> du logement social -</w:t>
      </w:r>
    </w:p>
    <w:p w14:paraId="41468130" w14:textId="2809605E" w:rsidR="006B1E5F" w:rsidRDefault="00596118" w:rsidP="00A01213">
      <w:pPr>
        <w:spacing w:before="120" w:after="0" w:line="240" w:lineRule="auto"/>
        <w:ind w:left="1701" w:hanging="1701"/>
      </w:pPr>
      <w:r w:rsidRPr="00122165">
        <w:rPr>
          <w:b/>
        </w:rPr>
        <w:t>Réponses :</w:t>
      </w:r>
      <w:r>
        <w:t xml:space="preserve"> </w:t>
      </w:r>
      <w:r w:rsidR="00223947">
        <w:tab/>
      </w:r>
      <w:r w:rsidR="00D04802">
        <w:t>Rien à signaler</w:t>
      </w:r>
    </w:p>
    <w:p w14:paraId="48D6DEFC" w14:textId="123E0E85" w:rsidR="00CE269F" w:rsidRDefault="00596118" w:rsidP="00A01213">
      <w:pPr>
        <w:spacing w:before="120" w:after="0" w:line="240" w:lineRule="auto"/>
        <w:ind w:left="1701" w:hanging="1701"/>
      </w:pPr>
      <w:r w:rsidRPr="004E2169">
        <w:rPr>
          <w:b/>
          <w:spacing w:val="-8"/>
        </w:rPr>
        <w:t>Jurisprudence :</w:t>
      </w:r>
      <w:r>
        <w:t xml:space="preserve"> </w:t>
      </w:r>
      <w:r w:rsidR="00223947">
        <w:tab/>
      </w:r>
      <w:r w:rsidR="00D24079">
        <w:t xml:space="preserve">Les foyers ne sont pas des logements sociaux puisque c’est de l’hébergement </w:t>
      </w:r>
      <w:r w:rsidR="00ED2D63">
        <w:t>– La cession concomitante des droits du bailleur et du preneur s’analyse en résiliation de bail -</w:t>
      </w:r>
    </w:p>
    <w:p w14:paraId="76354D80" w14:textId="18FB49B8" w:rsidR="00004382" w:rsidRDefault="00596118" w:rsidP="00A01213">
      <w:pPr>
        <w:spacing w:before="120" w:after="0" w:line="240" w:lineRule="auto"/>
        <w:ind w:left="1701" w:hanging="1701"/>
      </w:pPr>
      <w:r w:rsidRPr="00122165">
        <w:rPr>
          <w:b/>
        </w:rPr>
        <w:t>Divers :</w:t>
      </w:r>
      <w:r>
        <w:t xml:space="preserve"> </w:t>
      </w:r>
      <w:r>
        <w:tab/>
      </w:r>
      <w:r w:rsidR="00ED2D63">
        <w:t>Rien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17EA3678" w14:textId="35713EC3" w:rsidR="00307714" w:rsidRDefault="00220C67" w:rsidP="009F702B">
      <w:pPr>
        <w:spacing w:before="120" w:after="0" w:line="240" w:lineRule="auto"/>
        <w:rPr>
          <w:color w:val="003300"/>
        </w:rPr>
      </w:pPr>
      <w:r>
        <w:rPr>
          <w:color w:val="003300"/>
          <w:u w:val="single"/>
        </w:rPr>
        <w:t>Logement intermédiaire</w:t>
      </w:r>
      <w:r>
        <w:rPr>
          <w:color w:val="003300"/>
        </w:rPr>
        <w:t xml:space="preserve"> – Remplacement de l’exonération de taxe foncière par une créance d’impôt sur les sociétés à partir de 2023.</w:t>
      </w:r>
    </w:p>
    <w:p w14:paraId="3975F250" w14:textId="579EF559" w:rsidR="00220C67" w:rsidRDefault="00ED2D63" w:rsidP="00220C67">
      <w:pPr>
        <w:spacing w:before="120" w:after="0" w:line="240" w:lineRule="auto"/>
        <w:ind w:left="567"/>
        <w:rPr>
          <w:color w:val="003300"/>
          <w:u w:val="single"/>
        </w:rPr>
      </w:pPr>
      <w:hyperlink r:id="rId8" w:history="1">
        <w:r w:rsidR="00220C67" w:rsidRPr="0068129B">
          <w:rPr>
            <w:rStyle w:val="Lienhypertexte"/>
          </w:rPr>
          <w:t>Loi de finances pour 2022</w:t>
        </w:r>
      </w:hyperlink>
      <w:r w:rsidR="00220C67" w:rsidRPr="0068129B">
        <w:t>, article</w:t>
      </w:r>
      <w:r w:rsidR="00220C67">
        <w:t>s</w:t>
      </w:r>
      <w:r w:rsidR="00220C67" w:rsidRPr="0068129B">
        <w:t xml:space="preserve"> </w:t>
      </w:r>
      <w:r w:rsidR="00220C67" w:rsidRPr="00220C67">
        <w:t>81 et 32, I-5°, III et IV</w:t>
      </w:r>
    </w:p>
    <w:p w14:paraId="62E80419" w14:textId="62CAC4BB"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76450D82" w14:textId="6E80D9A1" w:rsidR="00D04802" w:rsidRDefault="0068129B" w:rsidP="00D04802">
      <w:pPr>
        <w:keepNext/>
        <w:spacing w:before="120" w:after="0" w:line="240" w:lineRule="auto"/>
        <w:rPr>
          <w:color w:val="003300"/>
        </w:rPr>
      </w:pPr>
      <w:r w:rsidRPr="0068129B">
        <w:rPr>
          <w:color w:val="003300"/>
          <w:u w:val="single"/>
        </w:rPr>
        <w:t>TVA réduite sur le logement social</w:t>
      </w:r>
      <w:r>
        <w:rPr>
          <w:color w:val="003300"/>
        </w:rPr>
        <w:t xml:space="preserve"> – 5,5% sur </w:t>
      </w:r>
      <w:r w:rsidR="00101F55">
        <w:rPr>
          <w:color w:val="003300"/>
        </w:rPr>
        <w:t>les acquisitions</w:t>
      </w:r>
      <w:r>
        <w:rPr>
          <w:color w:val="003300"/>
        </w:rPr>
        <w:t xml:space="preserve"> amélioration</w:t>
      </w:r>
      <w:r w:rsidR="00101F55">
        <w:rPr>
          <w:color w:val="003300"/>
        </w:rPr>
        <w:t>s</w:t>
      </w:r>
      <w:r>
        <w:rPr>
          <w:color w:val="003300"/>
        </w:rPr>
        <w:t xml:space="preserve"> des logements financés en PLS à partir de 2022, y compris si « VIR » et si LASM pour les bailleurs sociaux.</w:t>
      </w:r>
    </w:p>
    <w:p w14:paraId="730FD860" w14:textId="364355CF" w:rsidR="0068129B" w:rsidRPr="0068129B" w:rsidRDefault="00ED2D63" w:rsidP="0068129B">
      <w:pPr>
        <w:keepNext/>
        <w:spacing w:before="120" w:after="0" w:line="240" w:lineRule="auto"/>
        <w:ind w:left="567"/>
      </w:pPr>
      <w:hyperlink r:id="rId9" w:history="1">
        <w:r w:rsidR="0068129B" w:rsidRPr="0068129B">
          <w:rPr>
            <w:rStyle w:val="Lienhypertexte"/>
          </w:rPr>
          <w:t>Loi de finances pour 2022</w:t>
        </w:r>
      </w:hyperlink>
      <w:r w:rsidR="0068129B" w:rsidRPr="0068129B">
        <w:t>, article 32, I-1° à 4° et II.</w:t>
      </w:r>
    </w:p>
    <w:p w14:paraId="6CE58C92" w14:textId="5FED2CF5"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788D074E" w14:textId="77777777" w:rsidR="00D24079" w:rsidRPr="00D04802" w:rsidRDefault="00D24079" w:rsidP="00D24079">
      <w:pPr>
        <w:keepNext/>
        <w:spacing w:before="120" w:after="120" w:line="240" w:lineRule="auto"/>
        <w:rPr>
          <w:rFonts w:cs="Times"/>
          <w:color w:val="003300"/>
          <w:szCs w:val="24"/>
        </w:rPr>
      </w:pPr>
      <w:r w:rsidRPr="00D04802">
        <w:rPr>
          <w:color w:val="003300"/>
        </w:rPr>
        <w:t>Rien à signaler</w:t>
      </w:r>
    </w:p>
    <w:p w14:paraId="034CD263" w14:textId="69FC3A91" w:rsidR="00426AED" w:rsidRPr="00D61BAB" w:rsidRDefault="00426AED" w:rsidP="00084558">
      <w:pPr>
        <w:spacing w:before="120" w:after="12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44BEA41" w14:textId="13BD272F" w:rsidR="000A508A" w:rsidRPr="00D04802" w:rsidRDefault="00D04802" w:rsidP="00084558">
      <w:pPr>
        <w:keepNext/>
        <w:spacing w:before="120" w:after="120" w:line="240" w:lineRule="auto"/>
        <w:rPr>
          <w:rFonts w:cs="Times"/>
          <w:color w:val="003300"/>
          <w:szCs w:val="24"/>
        </w:rPr>
      </w:pPr>
      <w:r w:rsidRPr="00D04802">
        <w:rPr>
          <w:color w:val="003300"/>
        </w:rPr>
        <w:t>Rien à signaler</w:t>
      </w:r>
    </w:p>
    <w:p w14:paraId="20AC9049" w14:textId="4EA0B02B" w:rsidR="00876847" w:rsidRDefault="00BA1DA3" w:rsidP="00084558">
      <w:pPr>
        <w:spacing w:before="120" w:after="120" w:line="240" w:lineRule="auto"/>
        <w:rPr>
          <w:rFonts w:cs="Times"/>
          <w:color w:val="003300"/>
          <w:szCs w:val="24"/>
        </w:rPr>
      </w:pPr>
      <w:r w:rsidRPr="004C4D76">
        <w:rPr>
          <w:rFonts w:cs="Times"/>
          <w:b/>
          <w:szCs w:val="24"/>
        </w:rPr>
        <w:t>1.5</w:t>
      </w:r>
      <w:r w:rsidRPr="004C4D76">
        <w:rPr>
          <w:rFonts w:cs="Times"/>
          <w:b/>
          <w:szCs w:val="24"/>
        </w:rPr>
        <w:tab/>
        <w:t>Divers</w:t>
      </w:r>
    </w:p>
    <w:p w14:paraId="4372B785" w14:textId="77B4C61E" w:rsidR="003C2ED7" w:rsidRDefault="003C2ED7" w:rsidP="003C2ED7">
      <w:pPr>
        <w:keepNext/>
        <w:spacing w:before="120" w:after="120" w:line="240" w:lineRule="auto"/>
        <w:rPr>
          <w:color w:val="003300"/>
        </w:rPr>
      </w:pPr>
      <w:r w:rsidRPr="003C2ED7">
        <w:rPr>
          <w:color w:val="003300"/>
          <w:u w:val="single"/>
        </w:rPr>
        <w:t>Taxe d’aménagement</w:t>
      </w:r>
      <w:r>
        <w:rPr>
          <w:color w:val="003300"/>
        </w:rPr>
        <w:t xml:space="preserve"> – la révision 2022</w:t>
      </w:r>
    </w:p>
    <w:p w14:paraId="191776A9" w14:textId="77777777" w:rsidR="003C2ED7" w:rsidRPr="003C2ED7" w:rsidRDefault="00ED2D63" w:rsidP="003C2ED7">
      <w:pPr>
        <w:spacing w:before="120" w:after="0" w:line="240" w:lineRule="auto"/>
        <w:ind w:left="360"/>
        <w:rPr>
          <w:rFonts w:ascii="Times New Roman" w:eastAsia="Times New Roman" w:hAnsi="Times New Roman"/>
          <w:color w:val="000000"/>
          <w:szCs w:val="24"/>
        </w:rPr>
      </w:pPr>
      <w:hyperlink r:id="rId10" w:tgtFrame="_blank" w:tooltip="Ouvrir " w:history="1">
        <w:r w:rsidR="003C2ED7" w:rsidRPr="003C2ED7">
          <w:rPr>
            <w:rStyle w:val="Lienhypertexte"/>
            <w:rFonts w:ascii="Times New Roman" w:hAnsi="Times New Roman"/>
            <w:szCs w:val="24"/>
          </w:rPr>
          <w:t>Arrêté du 29 décembre 2021</w:t>
        </w:r>
      </w:hyperlink>
      <w:r w:rsidR="003C2ED7" w:rsidRPr="003C2ED7">
        <w:rPr>
          <w:rFonts w:ascii="Times New Roman" w:hAnsi="Times New Roman"/>
          <w:color w:val="000000"/>
          <w:szCs w:val="24"/>
        </w:rPr>
        <w:t> relatif à la révision annuelle des valeurs forfaitaires par mètre carré de surface de construction constituant l'assiette de la taxe d'aménagement (article L. 331-11 du code de l'urbanisme)</w:t>
      </w:r>
    </w:p>
    <w:p w14:paraId="50F35DC0" w14:textId="62DFF352" w:rsidR="003C2ED7" w:rsidRPr="00D04802" w:rsidRDefault="003C2ED7" w:rsidP="003C2ED7">
      <w:pPr>
        <w:keepNext/>
        <w:spacing w:before="120" w:after="120" w:line="240" w:lineRule="auto"/>
        <w:rPr>
          <w:rFonts w:cs="Times"/>
          <w:color w:val="003300"/>
          <w:szCs w:val="24"/>
        </w:rPr>
      </w:pPr>
      <w:r w:rsidRPr="003C2ED7">
        <w:rPr>
          <w:color w:val="003300"/>
          <w:u w:val="single"/>
        </w:rPr>
        <w:t>Redevance d’archéologie préventive</w:t>
      </w:r>
      <w:r>
        <w:rPr>
          <w:color w:val="003300"/>
        </w:rPr>
        <w:t xml:space="preserve"> – La révision 2022</w:t>
      </w:r>
    </w:p>
    <w:p w14:paraId="2ED27271" w14:textId="77777777" w:rsidR="003C2ED7" w:rsidRPr="003C2ED7" w:rsidRDefault="00ED2D63" w:rsidP="003C2ED7">
      <w:pPr>
        <w:spacing w:before="120" w:after="0" w:line="240" w:lineRule="auto"/>
        <w:ind w:left="357"/>
        <w:rPr>
          <w:rFonts w:ascii="Times New Roman" w:eastAsia="Times New Roman" w:hAnsi="Times New Roman"/>
          <w:color w:val="000000"/>
          <w:szCs w:val="24"/>
        </w:rPr>
      </w:pPr>
      <w:hyperlink r:id="rId11" w:tgtFrame="_blank" w:tooltip="Ouvrir " w:history="1">
        <w:r w:rsidR="003C2ED7" w:rsidRPr="003C2ED7">
          <w:rPr>
            <w:rStyle w:val="Lienhypertexte"/>
            <w:rFonts w:ascii="Times New Roman" w:hAnsi="Times New Roman"/>
            <w:szCs w:val="24"/>
          </w:rPr>
          <w:t>Arrêté du 27 décembre 2021</w:t>
        </w:r>
      </w:hyperlink>
      <w:r w:rsidR="003C2ED7" w:rsidRPr="003C2ED7">
        <w:rPr>
          <w:rFonts w:ascii="Times New Roman" w:hAnsi="Times New Roman"/>
          <w:color w:val="0000FF"/>
          <w:szCs w:val="24"/>
        </w:rPr>
        <w:t> </w:t>
      </w:r>
      <w:r w:rsidR="003C2ED7" w:rsidRPr="003C2ED7">
        <w:rPr>
          <w:rFonts w:ascii="Times New Roman" w:hAnsi="Times New Roman"/>
          <w:color w:val="000000"/>
          <w:szCs w:val="24"/>
        </w:rPr>
        <w:t>portant fixation du taux de la redevance d'archéologie préventive</w:t>
      </w:r>
    </w:p>
    <w:p w14:paraId="5380879D" w14:textId="194538A9" w:rsidR="006E12CD" w:rsidRDefault="001B6D1A" w:rsidP="00084558">
      <w:pPr>
        <w:keepNext/>
        <w:spacing w:before="120" w:after="120" w:line="240" w:lineRule="auto"/>
        <w:rPr>
          <w:color w:val="003300"/>
          <w:u w:val="single"/>
        </w:rPr>
      </w:pPr>
      <w:r>
        <w:rPr>
          <w:color w:val="003300"/>
          <w:u w:val="single"/>
        </w:rPr>
        <w:t>Bulletins de salaire</w:t>
      </w:r>
      <w:r>
        <w:rPr>
          <w:color w:val="003300"/>
        </w:rPr>
        <w:t xml:space="preserve"> – A partir de 2022, ils doivent mentionner le net imposable.</w:t>
      </w:r>
    </w:p>
    <w:p w14:paraId="77C29C14" w14:textId="205A6659" w:rsidR="00307714" w:rsidRDefault="00ED2D63" w:rsidP="000D778A">
      <w:pPr>
        <w:keepNext/>
        <w:spacing w:before="120" w:after="120" w:line="240" w:lineRule="auto"/>
        <w:ind w:left="567"/>
      </w:pPr>
      <w:hyperlink r:id="rId12" w:history="1">
        <w:r w:rsidR="000D778A" w:rsidRPr="000D778A">
          <w:rPr>
            <w:rStyle w:val="Lienhypertexte"/>
          </w:rPr>
          <w:t>Arrêté du 23 décembre 2021</w:t>
        </w:r>
      </w:hyperlink>
      <w:r w:rsidR="000D778A" w:rsidRPr="000D778A">
        <w:t xml:space="preserve"> modifiant l'arrêté du 25 février 2016 fixant les libellés, l'ordre et le regroupement des informations figurant sur le bulletin de paie mentionnées à l'article R. 3243-2 du code du travail</w:t>
      </w:r>
    </w:p>
    <w:p w14:paraId="47152080" w14:textId="77777777" w:rsidR="000D778A" w:rsidRPr="000D778A" w:rsidRDefault="000D778A" w:rsidP="000D778A">
      <w:pPr>
        <w:keepNext/>
        <w:spacing w:before="120" w:after="120" w:line="240" w:lineRule="auto"/>
        <w:ind w:left="567"/>
      </w:pPr>
    </w:p>
    <w:p w14:paraId="20C76B2E" w14:textId="3C1CB255" w:rsidR="00E935A2" w:rsidRPr="006320BB" w:rsidRDefault="00E935A2" w:rsidP="00084558">
      <w:pPr>
        <w:keepNext/>
        <w:spacing w:before="120" w:after="12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084558">
      <w:pPr>
        <w:keepNext/>
        <w:spacing w:before="120" w:after="120" w:line="240" w:lineRule="auto"/>
        <w:jc w:val="left"/>
        <w:rPr>
          <w:rFonts w:cs="Times"/>
          <w:b/>
          <w:szCs w:val="24"/>
        </w:rPr>
      </w:pPr>
      <w:r w:rsidRPr="006320BB">
        <w:rPr>
          <w:rFonts w:cs="Times"/>
          <w:b/>
          <w:szCs w:val="24"/>
        </w:rPr>
        <w:t>2.1</w:t>
      </w:r>
      <w:r w:rsidRPr="006320BB">
        <w:rPr>
          <w:rFonts w:cs="Times"/>
          <w:b/>
          <w:szCs w:val="24"/>
        </w:rPr>
        <w:tab/>
        <w:t>Comptabilité publique</w:t>
      </w:r>
    </w:p>
    <w:p w14:paraId="0392426A" w14:textId="6A51CF35" w:rsidR="00BC5BFF" w:rsidRDefault="00BC5BFF" w:rsidP="00084558">
      <w:pPr>
        <w:keepNext/>
        <w:spacing w:before="120" w:after="120" w:line="240" w:lineRule="auto"/>
        <w:rPr>
          <w:color w:val="003300"/>
        </w:rPr>
      </w:pPr>
      <w:r w:rsidRPr="00BC5BFF">
        <w:rPr>
          <w:color w:val="003300"/>
          <w:u w:val="single"/>
        </w:rPr>
        <w:t>Nomenclatures publiques</w:t>
      </w:r>
      <w:r w:rsidR="0009759D" w:rsidRPr="00BC5BFF">
        <w:rPr>
          <w:color w:val="003300"/>
          <w:u w:val="single"/>
        </w:rPr>
        <w:t xml:space="preserve"> –</w:t>
      </w:r>
      <w:r w:rsidR="0009759D">
        <w:rPr>
          <w:color w:val="003300"/>
        </w:rPr>
        <w:t xml:space="preserve"> Mise à jour pour 2022</w:t>
      </w:r>
      <w:r>
        <w:rPr>
          <w:color w:val="003300"/>
        </w:rPr>
        <w:t>.</w:t>
      </w:r>
    </w:p>
    <w:p w14:paraId="03AE72D2" w14:textId="4AFF16C3" w:rsidR="0009759D" w:rsidRDefault="00ED2D63" w:rsidP="00BC5BFF">
      <w:pPr>
        <w:keepNext/>
        <w:spacing w:before="120" w:after="120" w:line="240" w:lineRule="auto"/>
        <w:ind w:left="567"/>
      </w:pPr>
      <w:hyperlink r:id="rId13" w:history="1">
        <w:r w:rsidR="0009759D" w:rsidRPr="0009759D">
          <w:rPr>
            <w:rStyle w:val="Lienhypertexte"/>
          </w:rPr>
          <w:t>Arrêté du 9 décembre 2021</w:t>
        </w:r>
      </w:hyperlink>
      <w:r w:rsidR="0009759D">
        <w:t xml:space="preserve"> relatif à l’instruction budgétaire et comptable M. 4 applicable aux services publics industriels et commerciaux</w:t>
      </w:r>
    </w:p>
    <w:p w14:paraId="56BE9F19" w14:textId="77777777" w:rsidR="00BC5BFF" w:rsidRPr="0009759D" w:rsidRDefault="00ED2D63" w:rsidP="00E826C9">
      <w:pPr>
        <w:shd w:val="clear" w:color="auto" w:fill="FFFFFF"/>
        <w:spacing w:before="120" w:after="0" w:line="240" w:lineRule="auto"/>
        <w:ind w:left="1134"/>
        <w:jc w:val="left"/>
        <w:rPr>
          <w:rFonts w:ascii="Times New Roman" w:eastAsia="Times New Roman" w:hAnsi="Times New Roman"/>
          <w:color w:val="212529"/>
        </w:rPr>
      </w:pPr>
      <w:hyperlink r:id="rId14" w:tgtFrame="_blank" w:history="1">
        <w:r w:rsidR="00BC5BFF" w:rsidRPr="0009759D">
          <w:rPr>
            <w:rStyle w:val="Lienhypertexte"/>
            <w:rFonts w:ascii="Times New Roman" w:hAnsi="Times New Roman"/>
          </w:rPr>
          <w:t>L'instruction budgétaire et comptable M4</w:t>
        </w:r>
      </w:hyperlink>
      <w:r w:rsidR="00BC5BFF" w:rsidRPr="0009759D">
        <w:rPr>
          <w:rFonts w:ascii="Times New Roman" w:hAnsi="Times New Roman"/>
          <w:color w:val="212529"/>
        </w:rPr>
        <w:t> au 1er janvier 2022</w:t>
      </w:r>
    </w:p>
    <w:p w14:paraId="69EA6E20" w14:textId="77777777" w:rsidR="00BC5BFF" w:rsidRPr="0009759D" w:rsidRDefault="00ED2D63" w:rsidP="00E826C9">
      <w:pPr>
        <w:shd w:val="clear" w:color="auto" w:fill="FFFFFF"/>
        <w:spacing w:before="120" w:after="0" w:line="240" w:lineRule="auto"/>
        <w:ind w:left="1134"/>
        <w:jc w:val="left"/>
        <w:rPr>
          <w:rFonts w:ascii="Times New Roman" w:hAnsi="Times New Roman"/>
          <w:color w:val="212529"/>
        </w:rPr>
      </w:pPr>
      <w:hyperlink r:id="rId15" w:tgtFrame="_blank" w:history="1">
        <w:r w:rsidR="00BC5BFF" w:rsidRPr="0009759D">
          <w:rPr>
            <w:rStyle w:val="Lienhypertexte"/>
            <w:rFonts w:ascii="Times New Roman" w:hAnsi="Times New Roman"/>
          </w:rPr>
          <w:t>Annexes de l'instruction M4</w:t>
        </w:r>
      </w:hyperlink>
      <w:r w:rsidR="00BC5BFF" w:rsidRPr="0009759D">
        <w:rPr>
          <w:rFonts w:ascii="Times New Roman" w:hAnsi="Times New Roman"/>
          <w:color w:val="0000FF"/>
        </w:rPr>
        <w:t> </w:t>
      </w:r>
      <w:r w:rsidR="00BC5BFF" w:rsidRPr="0009759D">
        <w:rPr>
          <w:rFonts w:ascii="Times New Roman" w:hAnsi="Times New Roman"/>
          <w:color w:val="212529"/>
        </w:rPr>
        <w:t>au 1er janvier 2022</w:t>
      </w:r>
    </w:p>
    <w:p w14:paraId="618FBEFA" w14:textId="77777777" w:rsidR="00BC5BFF" w:rsidRPr="0009759D" w:rsidRDefault="00ED2D63" w:rsidP="00E826C9">
      <w:pPr>
        <w:shd w:val="clear" w:color="auto" w:fill="FFFFFF"/>
        <w:spacing w:before="120" w:after="0" w:line="240" w:lineRule="auto"/>
        <w:ind w:left="1134"/>
        <w:jc w:val="left"/>
        <w:rPr>
          <w:rFonts w:ascii="Times New Roman" w:hAnsi="Times New Roman"/>
          <w:color w:val="212529"/>
        </w:rPr>
      </w:pPr>
      <w:hyperlink r:id="rId16" w:tgtFrame="_blank" w:history="1">
        <w:r w:rsidR="00BC5BFF" w:rsidRPr="0009759D">
          <w:rPr>
            <w:rStyle w:val="Lienhypertexte"/>
            <w:rFonts w:ascii="Times New Roman" w:hAnsi="Times New Roman"/>
          </w:rPr>
          <w:t>Modifications de l'instruction M4</w:t>
        </w:r>
      </w:hyperlink>
      <w:r w:rsidR="00BC5BFF" w:rsidRPr="0009759D">
        <w:rPr>
          <w:rFonts w:ascii="Times New Roman" w:hAnsi="Times New Roman"/>
          <w:color w:val="212529"/>
        </w:rPr>
        <w:t> au 1er janvier 2022</w:t>
      </w:r>
    </w:p>
    <w:p w14:paraId="79ACC91A" w14:textId="7BFB368B" w:rsidR="00BC5BFF" w:rsidRDefault="00ED2D63" w:rsidP="00BC5BFF">
      <w:pPr>
        <w:spacing w:before="120" w:after="0" w:line="240" w:lineRule="auto"/>
        <w:ind w:left="567"/>
        <w:rPr>
          <w:rFonts w:ascii="Times New Roman" w:hAnsi="Times New Roman"/>
          <w:color w:val="000000"/>
          <w:szCs w:val="24"/>
        </w:rPr>
      </w:pPr>
      <w:hyperlink r:id="rId17"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FF"/>
          <w:szCs w:val="24"/>
        </w:rPr>
        <w:t> </w:t>
      </w:r>
      <w:r w:rsidR="00BC5BFF" w:rsidRPr="00BC5BFF">
        <w:rPr>
          <w:rFonts w:ascii="Times New Roman" w:hAnsi="Times New Roman"/>
          <w:color w:val="000000"/>
          <w:szCs w:val="24"/>
        </w:rPr>
        <w:t>relatif à l'instruction budgétaire et comptable M. 14 applicable aux communes et aux établissements publics communaux et intercommunaux à caractère administratif</w:t>
      </w:r>
    </w:p>
    <w:p w14:paraId="6F686D73" w14:textId="0C0237E7" w:rsidR="00BC5BFF" w:rsidRPr="00E826C9" w:rsidRDefault="00ED2D63" w:rsidP="00E826C9">
      <w:pPr>
        <w:spacing w:before="120" w:after="0" w:line="240" w:lineRule="auto"/>
        <w:ind w:left="1134"/>
        <w:rPr>
          <w:rFonts w:ascii="Times New Roman" w:hAnsi="Times New Roman"/>
          <w:color w:val="000000"/>
          <w:szCs w:val="24"/>
        </w:rPr>
      </w:pPr>
      <w:hyperlink r:id="rId18" w:tgtFrame="_blank" w:history="1">
        <w:r w:rsidR="00E826C9" w:rsidRPr="00E826C9">
          <w:rPr>
            <w:rStyle w:val="Lienhypertexte"/>
            <w:rFonts w:ascii="Times New Roman" w:hAnsi="Times New Roman"/>
            <w:shd w:val="clear" w:color="auto" w:fill="FFFFFF"/>
          </w:rPr>
          <w:t>Modifications de l'instruction M14 au 1er janvier 2022</w:t>
        </w:r>
      </w:hyperlink>
    </w:p>
    <w:p w14:paraId="74ABEC71" w14:textId="055AF294" w:rsidR="00BC5BFF" w:rsidRDefault="00ED2D63" w:rsidP="00BC5BFF">
      <w:pPr>
        <w:spacing w:before="120" w:after="0" w:line="240" w:lineRule="auto"/>
        <w:ind w:left="567"/>
        <w:rPr>
          <w:rFonts w:ascii="Times New Roman" w:hAnsi="Times New Roman"/>
          <w:color w:val="000000"/>
          <w:szCs w:val="24"/>
        </w:rPr>
      </w:pPr>
      <w:hyperlink r:id="rId19"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FF"/>
          <w:szCs w:val="24"/>
        </w:rPr>
        <w:t> </w:t>
      </w:r>
      <w:r w:rsidR="00BC5BFF" w:rsidRPr="00BC5BFF">
        <w:rPr>
          <w:rFonts w:ascii="Times New Roman" w:hAnsi="Times New Roman"/>
          <w:color w:val="000000"/>
          <w:szCs w:val="24"/>
        </w:rPr>
        <w:t>relatif à l'instruction budgétaire et comptable M. 52 des départements et de leurs établissements publics administratifs</w:t>
      </w:r>
    </w:p>
    <w:p w14:paraId="0D18D4E9" w14:textId="2EA172DB" w:rsidR="00BC5BFF" w:rsidRPr="00E826C9" w:rsidRDefault="00ED2D63" w:rsidP="00E826C9">
      <w:pPr>
        <w:spacing w:before="120" w:after="0" w:line="240" w:lineRule="auto"/>
        <w:ind w:left="1134"/>
        <w:rPr>
          <w:rFonts w:ascii="Times New Roman" w:hAnsi="Times New Roman"/>
          <w:color w:val="0000FF"/>
          <w:szCs w:val="24"/>
        </w:rPr>
      </w:pPr>
      <w:hyperlink r:id="rId20" w:tgtFrame="_blank" w:history="1">
        <w:r w:rsidR="00E826C9" w:rsidRPr="00E826C9">
          <w:rPr>
            <w:rStyle w:val="Lienhypertexte"/>
            <w:rFonts w:ascii="Times New Roman" w:hAnsi="Times New Roman"/>
            <w:shd w:val="clear" w:color="auto" w:fill="FFFFFF"/>
          </w:rPr>
          <w:t>Modifications de l'instruction M52 au 1er janvier 2022</w:t>
        </w:r>
      </w:hyperlink>
    </w:p>
    <w:p w14:paraId="029AB0F4" w14:textId="77777777" w:rsidR="00BC5BFF" w:rsidRPr="00BC5BFF" w:rsidRDefault="00ED2D63" w:rsidP="00BC5BFF">
      <w:pPr>
        <w:spacing w:before="120" w:after="0" w:line="240" w:lineRule="auto"/>
        <w:ind w:left="567"/>
        <w:rPr>
          <w:rFonts w:ascii="Times New Roman" w:hAnsi="Times New Roman"/>
          <w:color w:val="000000"/>
          <w:szCs w:val="24"/>
        </w:rPr>
      </w:pPr>
      <w:hyperlink r:id="rId21"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00"/>
          <w:szCs w:val="24"/>
        </w:rPr>
        <w:t> relatif à l'instruction budgétaire et comptable M. 57 applicable aux collectivités territoriales uniques, aux métropoles et à leurs établissements publics administratifs</w:t>
      </w:r>
    </w:p>
    <w:p w14:paraId="03832489" w14:textId="0CACAA84" w:rsidR="00BC5BFF" w:rsidRDefault="00ED2D63" w:rsidP="00BC5BFF">
      <w:pPr>
        <w:spacing w:before="120" w:after="0" w:line="240" w:lineRule="auto"/>
        <w:ind w:left="567"/>
        <w:rPr>
          <w:rFonts w:ascii="Times New Roman" w:hAnsi="Times New Roman"/>
          <w:color w:val="000000"/>
          <w:szCs w:val="24"/>
        </w:rPr>
      </w:pPr>
      <w:hyperlink r:id="rId22"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00"/>
          <w:szCs w:val="24"/>
        </w:rPr>
        <w:t> relatif à l'instruction budgétaire et comptable M. 61 des services départementaux d'incendie et de secours</w:t>
      </w:r>
    </w:p>
    <w:p w14:paraId="57164273" w14:textId="00ED2959" w:rsidR="00BC5BFF" w:rsidRPr="00E826C9" w:rsidRDefault="00ED2D63" w:rsidP="00E826C9">
      <w:pPr>
        <w:spacing w:before="120" w:after="0" w:line="240" w:lineRule="auto"/>
        <w:ind w:left="1134"/>
        <w:rPr>
          <w:rFonts w:ascii="Times New Roman" w:hAnsi="Times New Roman"/>
          <w:color w:val="0000FF"/>
          <w:szCs w:val="24"/>
        </w:rPr>
      </w:pPr>
      <w:hyperlink r:id="rId23" w:tgtFrame="_blank" w:history="1">
        <w:r w:rsidR="00E826C9" w:rsidRPr="00E826C9">
          <w:rPr>
            <w:rStyle w:val="Lienhypertexte"/>
            <w:rFonts w:ascii="Times New Roman" w:hAnsi="Times New Roman"/>
            <w:shd w:val="clear" w:color="auto" w:fill="FFFFFF"/>
          </w:rPr>
          <w:t>Modifications de l'instruction M61 au 1er janvier 2022</w:t>
        </w:r>
      </w:hyperlink>
    </w:p>
    <w:p w14:paraId="591D4F79" w14:textId="0C000DF9" w:rsidR="00BC5BFF" w:rsidRDefault="00ED2D63" w:rsidP="00BC5BFF">
      <w:pPr>
        <w:spacing w:before="120" w:after="0" w:line="240" w:lineRule="auto"/>
        <w:ind w:left="567"/>
        <w:rPr>
          <w:rFonts w:ascii="Times New Roman" w:hAnsi="Times New Roman"/>
          <w:color w:val="000000"/>
          <w:szCs w:val="24"/>
        </w:rPr>
      </w:pPr>
      <w:hyperlink r:id="rId24"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FF"/>
          <w:szCs w:val="24"/>
        </w:rPr>
        <w:t> </w:t>
      </w:r>
      <w:r w:rsidR="00BC5BFF" w:rsidRPr="00BC5BFF">
        <w:rPr>
          <w:rFonts w:ascii="Times New Roman" w:hAnsi="Times New Roman"/>
          <w:color w:val="000000"/>
          <w:szCs w:val="24"/>
        </w:rPr>
        <w:t>relatif à l'instruction budgétaire et comptable M. 831 applicable au Centre national de la fonction publique territoriale</w:t>
      </w:r>
    </w:p>
    <w:p w14:paraId="7297C7F8" w14:textId="77777777" w:rsidR="00E826C9" w:rsidRPr="00E826C9" w:rsidRDefault="00ED2D63" w:rsidP="00E826C9">
      <w:pPr>
        <w:shd w:val="clear" w:color="auto" w:fill="FFFFFF"/>
        <w:spacing w:before="120" w:after="0" w:line="240" w:lineRule="auto"/>
        <w:ind w:left="1134"/>
        <w:jc w:val="left"/>
        <w:rPr>
          <w:rFonts w:ascii="Times New Roman" w:eastAsia="Times New Roman" w:hAnsi="Times New Roman"/>
          <w:color w:val="212529"/>
        </w:rPr>
      </w:pPr>
      <w:hyperlink r:id="rId25" w:tgtFrame="_blank" w:history="1">
        <w:r w:rsidR="00E826C9" w:rsidRPr="00E826C9">
          <w:rPr>
            <w:rStyle w:val="Lienhypertexte"/>
            <w:rFonts w:ascii="Times New Roman" w:hAnsi="Times New Roman"/>
          </w:rPr>
          <w:t>Plan de compte M831</w:t>
        </w:r>
      </w:hyperlink>
      <w:r w:rsidR="00E826C9" w:rsidRPr="00E826C9">
        <w:rPr>
          <w:rFonts w:ascii="Times New Roman" w:hAnsi="Times New Roman"/>
          <w:color w:val="0000FF"/>
        </w:rPr>
        <w:t> </w:t>
      </w:r>
      <w:r w:rsidR="00E826C9" w:rsidRPr="00E826C9">
        <w:rPr>
          <w:rFonts w:ascii="Times New Roman" w:hAnsi="Times New Roman"/>
          <w:color w:val="212529"/>
        </w:rPr>
        <w:t>au 1er janvier 2022</w:t>
      </w:r>
    </w:p>
    <w:p w14:paraId="547EAC2A" w14:textId="77777777" w:rsidR="00BC5BFF" w:rsidRPr="00BC5BFF" w:rsidRDefault="00ED2D63" w:rsidP="00BC5BFF">
      <w:pPr>
        <w:spacing w:before="120" w:after="0" w:line="240" w:lineRule="auto"/>
        <w:ind w:left="567"/>
        <w:rPr>
          <w:rFonts w:ascii="Times New Roman" w:hAnsi="Times New Roman"/>
          <w:color w:val="000000"/>
          <w:szCs w:val="24"/>
        </w:rPr>
      </w:pPr>
      <w:hyperlink r:id="rId26" w:tgtFrame="_blank" w:tooltip="Ouvrir " w:history="1">
        <w:r w:rsidR="00BC5BFF" w:rsidRPr="00BC5BFF">
          <w:rPr>
            <w:rStyle w:val="Lienhypertexte"/>
            <w:rFonts w:ascii="Times New Roman" w:hAnsi="Times New Roman"/>
            <w:szCs w:val="24"/>
          </w:rPr>
          <w:t>Arrêté du 9 décembre 2021</w:t>
        </w:r>
      </w:hyperlink>
      <w:r w:rsidR="00BC5BFF" w:rsidRPr="00BC5BFF">
        <w:rPr>
          <w:rFonts w:ascii="Times New Roman" w:hAnsi="Times New Roman"/>
          <w:color w:val="0000FF"/>
          <w:szCs w:val="24"/>
        </w:rPr>
        <w:t> </w:t>
      </w:r>
      <w:r w:rsidR="00BC5BFF" w:rsidRPr="00BC5BFF">
        <w:rPr>
          <w:rFonts w:ascii="Times New Roman" w:hAnsi="Times New Roman"/>
          <w:color w:val="000000"/>
          <w:szCs w:val="24"/>
        </w:rPr>
        <w:t>relatif à l'instruction budgétaire et comptable M. 832 applicable aux centres de gestion de la fonction publique territoriale</w:t>
      </w:r>
    </w:p>
    <w:p w14:paraId="377458A1" w14:textId="77777777" w:rsidR="00E826C9" w:rsidRPr="00E826C9" w:rsidRDefault="00ED2D63" w:rsidP="00E826C9">
      <w:pPr>
        <w:pStyle w:val="NormalWeb"/>
        <w:shd w:val="clear" w:color="auto" w:fill="FFFFFF"/>
        <w:spacing w:before="120" w:after="0"/>
        <w:ind w:left="1134"/>
        <w:rPr>
          <w:color w:val="0000FF"/>
        </w:rPr>
      </w:pPr>
      <w:hyperlink r:id="rId27" w:tgtFrame="_blank" w:history="1">
        <w:r w:rsidR="00E826C9" w:rsidRPr="00E826C9">
          <w:rPr>
            <w:rStyle w:val="Lienhypertexte"/>
          </w:rPr>
          <w:t>Modifications de l'instruction M832 au 1er janvier 2022</w:t>
        </w:r>
      </w:hyperlink>
    </w:p>
    <w:p w14:paraId="0CE3E775" w14:textId="77777777" w:rsidR="00E826C9" w:rsidRPr="00E826C9" w:rsidRDefault="00ED2D63" w:rsidP="00E826C9">
      <w:pPr>
        <w:shd w:val="clear" w:color="auto" w:fill="FFFFFF"/>
        <w:spacing w:before="120" w:after="0" w:line="240" w:lineRule="auto"/>
        <w:ind w:left="1134"/>
        <w:jc w:val="left"/>
        <w:rPr>
          <w:rFonts w:ascii="Times New Roman" w:hAnsi="Times New Roman"/>
          <w:color w:val="0000FF"/>
        </w:rPr>
      </w:pPr>
      <w:hyperlink r:id="rId28" w:tgtFrame="_blank" w:history="1">
        <w:r w:rsidR="00E826C9" w:rsidRPr="00E826C9">
          <w:rPr>
            <w:rStyle w:val="Lienhypertexte"/>
            <w:rFonts w:ascii="Times New Roman" w:hAnsi="Times New Roman"/>
          </w:rPr>
          <w:t>Plan de comptes M832 au 1er janvier 2022</w:t>
        </w:r>
      </w:hyperlink>
    </w:p>
    <w:p w14:paraId="1E12E0B0" w14:textId="0272E66D" w:rsidR="00925661" w:rsidRDefault="00E935A2" w:rsidP="00084558">
      <w:pPr>
        <w:keepNext/>
        <w:spacing w:before="120" w:after="120" w:line="240" w:lineRule="auto"/>
        <w:rPr>
          <w:rFonts w:cs="Times"/>
          <w:b/>
          <w:szCs w:val="24"/>
        </w:rPr>
      </w:pPr>
      <w:r w:rsidRPr="006320BB">
        <w:rPr>
          <w:rFonts w:cs="Times"/>
          <w:b/>
          <w:szCs w:val="24"/>
        </w:rPr>
        <w:t>2.2</w:t>
      </w:r>
      <w:r w:rsidRPr="006320BB">
        <w:rPr>
          <w:rFonts w:cs="Times"/>
          <w:b/>
          <w:szCs w:val="24"/>
        </w:rPr>
        <w:tab/>
        <w:t>Comptabilité privée</w:t>
      </w:r>
    </w:p>
    <w:p w14:paraId="085F9E3E" w14:textId="27421DBE" w:rsidR="00D83A1C" w:rsidRPr="00D24079" w:rsidRDefault="00D24079" w:rsidP="00235330">
      <w:pPr>
        <w:spacing w:before="120" w:after="0" w:line="240" w:lineRule="auto"/>
        <w:rPr>
          <w:color w:val="003300"/>
        </w:rPr>
      </w:pPr>
      <w:r w:rsidRPr="00D24079">
        <w:rPr>
          <w:color w:val="003300"/>
        </w:rPr>
        <w:t>Rien à signaler</w:t>
      </w:r>
    </w:p>
    <w:p w14:paraId="65D86DC2" w14:textId="77777777" w:rsidR="00307714" w:rsidRDefault="00307714" w:rsidP="00235330">
      <w:pPr>
        <w:spacing w:before="120" w:after="0" w:line="240" w:lineRule="auto"/>
        <w:rPr>
          <w:b/>
          <w:bCs/>
        </w:rPr>
      </w:pPr>
    </w:p>
    <w:p w14:paraId="077EA3B3" w14:textId="1057619F"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496E104C" w14:textId="0EB2DACE" w:rsidR="00307714" w:rsidRPr="00034E80" w:rsidRDefault="00034E80" w:rsidP="00B6031B">
      <w:pPr>
        <w:spacing w:before="120" w:after="0" w:line="240" w:lineRule="auto"/>
        <w:rPr>
          <w:color w:val="003300"/>
        </w:rPr>
      </w:pPr>
      <w:r>
        <w:rPr>
          <w:color w:val="003300"/>
          <w:u w:val="single"/>
        </w:rPr>
        <w:t>Logements-foyers –</w:t>
      </w:r>
      <w:r>
        <w:rPr>
          <w:color w:val="003300"/>
        </w:rPr>
        <w:t xml:space="preserve"> La nouvelle convention APL. A étudier car en cas de propriétaire et de gestionnaire, il leur faudra se mettre d’accord pour répartir les charges d’entretien, y compris renouvellement de composant ; bref, une petite évolution dans la rédaction de ces sujets.</w:t>
      </w:r>
    </w:p>
    <w:p w14:paraId="2EB22EA7" w14:textId="1D8C347A" w:rsidR="004316A3" w:rsidRPr="004316A3" w:rsidRDefault="00ED2D63" w:rsidP="004316A3">
      <w:pPr>
        <w:spacing w:before="120" w:after="0" w:line="240" w:lineRule="auto"/>
        <w:ind w:left="567"/>
      </w:pPr>
      <w:hyperlink r:id="rId29" w:history="1">
        <w:r w:rsidR="004316A3" w:rsidRPr="004316A3">
          <w:rPr>
            <w:rStyle w:val="Lienhypertexte"/>
          </w:rPr>
          <w:t>Décret n° 2021-1862</w:t>
        </w:r>
      </w:hyperlink>
      <w:r w:rsidR="004316A3" w:rsidRPr="004316A3">
        <w:t xml:space="preserve"> du 27 décembre 2021 modifiant la section 7 du chapitre III du titre V du livre III du code de la construction et de l'habitation relative aux conventions passées entre l'Etat, l'organisme propriétaire et l'organisme gestionnaire en application de l'article L. 353-13 portant sur les logements-foyers visés par l'article L. 351-2 (5°)</w:t>
      </w:r>
    </w:p>
    <w:p w14:paraId="3E3FAC83" w14:textId="3E4D3A91" w:rsidR="00621292" w:rsidRDefault="00621292" w:rsidP="00B6031B">
      <w:pPr>
        <w:spacing w:before="120" w:after="0" w:line="240" w:lineRule="auto"/>
        <w:rPr>
          <w:color w:val="003300"/>
        </w:rPr>
      </w:pPr>
      <w:r>
        <w:rPr>
          <w:color w:val="003300"/>
          <w:u w:val="single"/>
        </w:rPr>
        <w:t>Les plafonds de ressources en 2022 –</w:t>
      </w:r>
      <w:r>
        <w:rPr>
          <w:color w:val="003300"/>
        </w:rPr>
        <w:t xml:space="preserve"> La nouvelle grille pour 2022 pour le logement social.</w:t>
      </w:r>
    </w:p>
    <w:p w14:paraId="5AD9D31D" w14:textId="233E21CC" w:rsidR="00621292" w:rsidRDefault="00ED2D63" w:rsidP="00621292">
      <w:pPr>
        <w:spacing w:before="120" w:after="0" w:line="240" w:lineRule="auto"/>
        <w:ind w:left="567"/>
      </w:pPr>
      <w:hyperlink r:id="rId30" w:history="1">
        <w:r w:rsidR="00621292" w:rsidRPr="00621292">
          <w:rPr>
            <w:rStyle w:val="Lienhypertexte"/>
          </w:rPr>
          <w:t>Arrêté du 27 décembre 2021</w:t>
        </w:r>
      </w:hyperlink>
      <w:r w:rsidR="00621292" w:rsidRPr="00621292">
        <w:t xml:space="preserve"> modifiant l'arrêté du 29 juillet 1987 relatif aux plafonds de ressources des bénéficiaires de la législation sur les habitations à loyer modéré et des nouvelles aides de l'Etat en secteur locatif </w:t>
      </w:r>
    </w:p>
    <w:p w14:paraId="25704531" w14:textId="788781BB" w:rsidR="003F63A5" w:rsidRDefault="003F63A5" w:rsidP="003F63A5">
      <w:pPr>
        <w:keepNext/>
        <w:spacing w:before="120" w:after="120" w:line="240" w:lineRule="auto"/>
        <w:rPr>
          <w:color w:val="003300"/>
        </w:rPr>
      </w:pPr>
      <w:r>
        <w:rPr>
          <w:color w:val="003300"/>
          <w:u w:val="single"/>
        </w:rPr>
        <w:t>Les valeurs de base pour le logement social</w:t>
      </w:r>
      <w:r w:rsidRPr="00BC5BFF">
        <w:rPr>
          <w:color w:val="003300"/>
          <w:u w:val="single"/>
        </w:rPr>
        <w:t xml:space="preserve"> –</w:t>
      </w:r>
      <w:r>
        <w:rPr>
          <w:color w:val="003300"/>
        </w:rPr>
        <w:t xml:space="preserve"> Mise à jour pour 2022.</w:t>
      </w:r>
    </w:p>
    <w:p w14:paraId="21A342AA" w14:textId="17D12944" w:rsidR="0009759D" w:rsidRDefault="00ED2D63" w:rsidP="001B6D1A">
      <w:pPr>
        <w:spacing w:before="120" w:after="0" w:line="240" w:lineRule="auto"/>
        <w:ind w:left="567"/>
      </w:pPr>
      <w:hyperlink r:id="rId31" w:history="1">
        <w:r w:rsidR="001B6D1A" w:rsidRPr="001B6D1A">
          <w:rPr>
            <w:rStyle w:val="Lienhypertexte"/>
          </w:rPr>
          <w:t>Avis du 24 décembre 2021</w:t>
        </w:r>
      </w:hyperlink>
      <w:r w:rsidR="001B6D1A">
        <w:t xml:space="preserve"> relatif à l’actualisation des valeurs de base pour le calcul de l’assiette des subventions et des prêts pour la construction, l’acquisition et l’amélioration des logements locatifs aidés</w:t>
      </w:r>
    </w:p>
    <w:p w14:paraId="17D13BC7" w14:textId="7184F94A" w:rsidR="00E935A2" w:rsidRDefault="00AB002C" w:rsidP="00B6031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4B1B6317" w14:textId="14134799" w:rsidR="00D83A1C" w:rsidRPr="00D04802" w:rsidRDefault="00D04802" w:rsidP="00B6031B">
      <w:pPr>
        <w:spacing w:before="120" w:after="0" w:line="240" w:lineRule="auto"/>
        <w:rPr>
          <w:color w:val="003300"/>
        </w:rPr>
      </w:pPr>
      <w:r w:rsidRPr="00D04802">
        <w:rPr>
          <w:color w:val="003300"/>
        </w:rPr>
        <w:t>Rien à signaler</w:t>
      </w:r>
    </w:p>
    <w:p w14:paraId="7D92344F" w14:textId="47094EA8" w:rsidR="00331173" w:rsidRDefault="00331173" w:rsidP="00ED2D63">
      <w:pPr>
        <w:keepNext/>
        <w:spacing w:before="120" w:after="0" w:line="240" w:lineRule="auto"/>
        <w:rPr>
          <w:rFonts w:cs="Times"/>
          <w:b/>
          <w:szCs w:val="24"/>
        </w:rPr>
      </w:pPr>
      <w:r w:rsidRPr="006320BB">
        <w:rPr>
          <w:rFonts w:cs="Times"/>
          <w:b/>
          <w:szCs w:val="24"/>
        </w:rPr>
        <w:lastRenderedPageBreak/>
        <w:t>3.</w:t>
      </w:r>
      <w:r>
        <w:rPr>
          <w:rFonts w:cs="Times"/>
          <w:b/>
          <w:szCs w:val="24"/>
        </w:rPr>
        <w:t>3</w:t>
      </w:r>
      <w:r w:rsidRPr="006320BB">
        <w:rPr>
          <w:rFonts w:cs="Times"/>
          <w:b/>
          <w:szCs w:val="24"/>
        </w:rPr>
        <w:tab/>
      </w:r>
      <w:r>
        <w:rPr>
          <w:rFonts w:cs="Times"/>
          <w:b/>
          <w:szCs w:val="24"/>
        </w:rPr>
        <w:t>Jurisprudence</w:t>
      </w:r>
    </w:p>
    <w:p w14:paraId="68166FE3" w14:textId="4DFDCB76" w:rsidR="00D83A1C" w:rsidRDefault="00BB767E" w:rsidP="00ED2D63">
      <w:pPr>
        <w:keepNext/>
        <w:spacing w:before="120" w:after="0" w:line="240" w:lineRule="auto"/>
        <w:rPr>
          <w:color w:val="003300"/>
        </w:rPr>
      </w:pPr>
      <w:r w:rsidRPr="00BB767E">
        <w:rPr>
          <w:color w:val="003300"/>
          <w:u w:val="single"/>
        </w:rPr>
        <w:t>Résidences services</w:t>
      </w:r>
      <w:r>
        <w:rPr>
          <w:color w:val="003300"/>
        </w:rPr>
        <w:t xml:space="preserve"> – Comme c’est de l’hébergement, il ne faut pas les compter dans les 20 ou 25% de logements sociaux.</w:t>
      </w:r>
    </w:p>
    <w:p w14:paraId="1C734D67" w14:textId="360BD5CA" w:rsidR="00BB767E" w:rsidRDefault="00ED2D63" w:rsidP="00BB767E">
      <w:pPr>
        <w:spacing w:before="120" w:after="0" w:line="240" w:lineRule="auto"/>
        <w:ind w:left="567"/>
        <w:rPr>
          <w:rStyle w:val="Lienhypertexte"/>
        </w:rPr>
      </w:pPr>
      <w:hyperlink r:id="rId32" w:history="1">
        <w:r w:rsidR="00BB767E" w:rsidRPr="00BB767E">
          <w:rPr>
            <w:rStyle w:val="Lienhypertexte"/>
          </w:rPr>
          <w:t>CE 13-12-2021 n° 443815</w:t>
        </w:r>
      </w:hyperlink>
    </w:p>
    <w:p w14:paraId="75F926FB" w14:textId="0C3A6AE1" w:rsidR="00D83E17" w:rsidRDefault="00D83E17" w:rsidP="00D83E17">
      <w:pPr>
        <w:spacing w:before="120" w:after="0" w:line="240" w:lineRule="auto"/>
        <w:rPr>
          <w:color w:val="003300"/>
        </w:rPr>
      </w:pPr>
      <w:r>
        <w:rPr>
          <w:color w:val="003300"/>
          <w:u w:val="single"/>
        </w:rPr>
        <w:t>Cession de bail</w:t>
      </w:r>
      <w:r>
        <w:rPr>
          <w:color w:val="003300"/>
        </w:rPr>
        <w:t xml:space="preserve"> – </w:t>
      </w:r>
      <w:r>
        <w:rPr>
          <w:color w:val="003300"/>
        </w:rPr>
        <w:t>La cession des droits du bailleur et de ceux du preneur s’analyse en résiliation de bail. Et donc l’acquéreur de ces droits supporte l’impôt sur la valeur des biens qui lui reviennent.</w:t>
      </w:r>
    </w:p>
    <w:p w14:paraId="7F157A13" w14:textId="2C072DA3" w:rsidR="00D83E17" w:rsidRPr="00BB767E" w:rsidRDefault="00D83E17" w:rsidP="00BB767E">
      <w:pPr>
        <w:spacing w:before="120" w:after="0" w:line="240" w:lineRule="auto"/>
        <w:ind w:left="567"/>
      </w:pPr>
      <w:hyperlink r:id="rId33" w:history="1">
        <w:r w:rsidRPr="00D83E17">
          <w:rPr>
            <w:rStyle w:val="Lienhypertexte"/>
          </w:rPr>
          <w:t>CE 29-12-2021 n° 438856</w:t>
        </w:r>
      </w:hyperlink>
    </w:p>
    <w:p w14:paraId="24D1A5D0" w14:textId="74B53DF2" w:rsidR="005A17CC" w:rsidRPr="00142627" w:rsidRDefault="001F3614" w:rsidP="00B6031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249E70FC" w14:textId="37A5FADF" w:rsidR="001E5D0A" w:rsidRDefault="00D24079">
      <w:pPr>
        <w:spacing w:before="0" w:after="0" w:line="240" w:lineRule="auto"/>
        <w:jc w:val="left"/>
      </w:pPr>
      <w:r w:rsidRPr="00D04802">
        <w:rPr>
          <w:color w:val="003300"/>
        </w:rPr>
        <w:t>Rien à signaler</w:t>
      </w:r>
    </w:p>
    <w:p w14:paraId="6E1B19DF" w14:textId="710D5264" w:rsidR="00142627" w:rsidRDefault="00142627">
      <w:pPr>
        <w:spacing w:before="0" w:after="0" w:line="240" w:lineRule="auto"/>
        <w:jc w:val="left"/>
      </w:pPr>
      <w:r>
        <w:br w:type="page"/>
      </w:r>
    </w:p>
    <w:p w14:paraId="2649CADA" w14:textId="35ABB05A"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2AADAD1B" w14:textId="77777777" w:rsidR="00101F55" w:rsidRDefault="00101F55" w:rsidP="00101F55">
      <w:pPr>
        <w:pStyle w:val="NormalWeb"/>
        <w:shd w:val="clear" w:color="auto" w:fill="FFFFFF"/>
        <w:spacing w:before="0" w:after="150"/>
        <w:jc w:val="both"/>
      </w:pPr>
      <w:hyperlink r:id="rId34" w:tooltip="26/01/2022 : DJC - Actualisation des commentaires relatifs à la diffusion des données statistiques produites par l'administration fiscale" w:history="1">
        <w:r>
          <w:rPr>
            <w:rStyle w:val="Lienhypertexte"/>
            <w:rFonts w:ascii="Open Sans" w:hAnsi="Open Sans" w:cs="Open Sans"/>
            <w:sz w:val="21"/>
            <w:szCs w:val="21"/>
            <w:shd w:val="clear" w:color="auto" w:fill="FFFFFF"/>
          </w:rPr>
          <w:t>26/01/2022 : DJC - Actualisation des commentaires relatifs à la diffusion des données statistiques produites par l'administration fiscale</w:t>
        </w:r>
      </w:hyperlink>
    </w:p>
    <w:p w14:paraId="24382DBA" w14:textId="63D6B428" w:rsidR="002D3AAA" w:rsidRDefault="00ED2D63" w:rsidP="00101F55">
      <w:pPr>
        <w:pStyle w:val="NormalWeb"/>
        <w:shd w:val="clear" w:color="auto" w:fill="FFFFFF"/>
        <w:spacing w:before="0" w:after="150"/>
        <w:jc w:val="both"/>
        <w:rPr>
          <w:rFonts w:ascii="Open Sans" w:hAnsi="Open Sans" w:cs="Open Sans"/>
          <w:color w:val="333333"/>
          <w:sz w:val="21"/>
          <w:szCs w:val="21"/>
        </w:rPr>
      </w:pPr>
      <w:hyperlink r:id="rId35" w:tooltip="19/01/2022 : BIC - Actualisation du taux maximum des intérêts admis en déduction d'un point de vue fiscal " w:history="1">
        <w:r w:rsidR="002D3AAA">
          <w:rPr>
            <w:rStyle w:val="Lienhypertexte"/>
            <w:rFonts w:ascii="Open Sans" w:hAnsi="Open Sans" w:cs="Open Sans"/>
            <w:sz w:val="21"/>
            <w:szCs w:val="21"/>
          </w:rPr>
          <w:t>19/01/2022 : BIC - Actualisation du taux maximum des intérêts admis en déduction d'un point de vue fiscal</w:t>
        </w:r>
      </w:hyperlink>
    </w:p>
    <w:p w14:paraId="1A3EEB4D"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36" w:tooltip="19/01/2022 : TVA - Abrogation de l'article 258 B du CGI relatif à la territorialité en matière de TVA (loi n° 2019-1479 du 28 décembre 2019 de finances pour 2020, art. 147)" w:history="1">
        <w:r w:rsidR="002D3AAA">
          <w:rPr>
            <w:rStyle w:val="Lienhypertexte"/>
            <w:rFonts w:ascii="Open Sans" w:hAnsi="Open Sans" w:cs="Open Sans"/>
            <w:sz w:val="21"/>
            <w:szCs w:val="21"/>
          </w:rPr>
          <w:t>19/01/2022 : TVA - Abrogation de l'article 258 B du CGI relatif à la territorialité en matière de TVA (loi n° 2019-1479 du 28 décembre 2019 de finances pour 2020, art. 147)</w:t>
        </w:r>
      </w:hyperlink>
    </w:p>
    <w:p w14:paraId="7AD59B52"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37" w:tooltip="19/01/2022 : TCA - Recodification de la taxe due par les concessionnaires d'autoroute au sein du code des impositions sur les biens et services et mise à jour de son tarif" w:history="1">
        <w:r w:rsidR="002D3AAA">
          <w:rPr>
            <w:rStyle w:val="Lienhypertexte"/>
            <w:rFonts w:ascii="Open Sans" w:hAnsi="Open Sans" w:cs="Open Sans"/>
            <w:sz w:val="21"/>
            <w:szCs w:val="21"/>
          </w:rPr>
          <w:t>19/01/2022 : TCA - Recodification de la taxe due par les concessionnaires d'autoroute au sein du code des impositions sur les biens et services et mise à jour de son tarif</w:t>
        </w:r>
      </w:hyperlink>
    </w:p>
    <w:p w14:paraId="6FB49B63"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38" w:tooltip="19/01/2022 : TFP - Imposition forfaitaire sur les entreprises de réseaux (IFER) - Mise à jour des tarifs pour l'année d'imposition 2022" w:history="1">
        <w:r w:rsidR="002D3AAA">
          <w:rPr>
            <w:rStyle w:val="Lienhypertexte"/>
            <w:rFonts w:ascii="Open Sans" w:hAnsi="Open Sans" w:cs="Open Sans"/>
            <w:sz w:val="21"/>
            <w:szCs w:val="21"/>
          </w:rPr>
          <w:t>19/01/2022 : TFP - Imposition forfaitaire sur les entreprises de réseaux (IFER) - Mise à jour des tarifs pour l'année d'imposition 2022</w:t>
        </w:r>
      </w:hyperlink>
    </w:p>
    <w:p w14:paraId="7EBA15E1"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39" w:tooltip="12/01/2022 : TCA - Consultation publique - Transfert de la gestion, du recouvrement et du contrôle de la taxe générale sur les activités polluantes à l'administration fiscale (loi n° 2018-1317 du 30 décembre 2018 de finances pour 2019, art. 193)" w:history="1">
        <w:r w:rsidR="002D3AAA">
          <w:rPr>
            <w:rStyle w:val="Lienhypertexte"/>
            <w:rFonts w:ascii="Open Sans" w:hAnsi="Open Sans" w:cs="Open Sans"/>
            <w:sz w:val="21"/>
            <w:szCs w:val="21"/>
          </w:rPr>
          <w:t>12/01/2022 : TCA - Consultation publique - Transfert de la gestion, du recouvrement et du contrôle de la taxe générale sur les activités polluantes à l'administration fiscale (loi n° 2018-1317 du 30 décembre 2018 de finances pour 2019, art. 193)</w:t>
        </w:r>
      </w:hyperlink>
    </w:p>
    <w:p w14:paraId="43E64EC0"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40" w:tooltip="12/01/2022 : IF - Actualisation des plafonds d'exonération de cotisation foncière des entreprises (CFE) pour 2022 dans les zones urbaines en difficulté" w:history="1">
        <w:r w:rsidR="002D3AAA">
          <w:rPr>
            <w:rStyle w:val="Lienhypertexte"/>
            <w:rFonts w:ascii="Open Sans" w:hAnsi="Open Sans" w:cs="Open Sans"/>
            <w:sz w:val="21"/>
            <w:szCs w:val="21"/>
          </w:rPr>
          <w:t>12/01/2022 : IF - Actualisation des plafonds d'exonération de cotisation foncière des entreprises (CFE) pour 2022 dans les zones urbaines en difficulté</w:t>
        </w:r>
      </w:hyperlink>
    </w:p>
    <w:p w14:paraId="7567F8E2"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41" w:tooltip="05/01/2022 : BIC - Crédit d’impôt pour investissement productif outre-mer - Mise à disposition de la toiture d’un immeuble à usage d’habitation pour l’exploitation de panneaux photovoltaïques - Rescrit" w:history="1">
        <w:r w:rsidR="002D3AAA">
          <w:rPr>
            <w:rStyle w:val="Lienhypertexte"/>
            <w:rFonts w:ascii="Open Sans" w:hAnsi="Open Sans" w:cs="Open Sans"/>
            <w:sz w:val="21"/>
            <w:szCs w:val="21"/>
          </w:rPr>
          <w:t>05/01/2022 : BIC - Crédit d’impôt pour investissement productif outre-mer - Mise à disposition de la toiture d’un immeuble à usage d’habitation pour l’exploitation de panneaux photovoltaïques - Rescrit</w:t>
        </w:r>
      </w:hyperlink>
    </w:p>
    <w:p w14:paraId="30C3EDD7" w14:textId="77777777" w:rsidR="002D3AAA" w:rsidRDefault="00ED2D63" w:rsidP="002D3AAA">
      <w:pPr>
        <w:pStyle w:val="NormalWeb"/>
        <w:shd w:val="clear" w:color="auto" w:fill="FFFFFF"/>
        <w:spacing w:before="0" w:after="150"/>
        <w:jc w:val="both"/>
        <w:rPr>
          <w:rFonts w:ascii="Open Sans" w:hAnsi="Open Sans" w:cs="Open Sans"/>
          <w:color w:val="333333"/>
          <w:sz w:val="21"/>
          <w:szCs w:val="21"/>
        </w:rPr>
      </w:pPr>
      <w:hyperlink r:id="rId42" w:tooltip="05/01/2022 : TFP - Fixation des montants de l'imposition forfaitaire sur les pylônes au titre de 2022 (CGI, art. 1519 A)" w:history="1">
        <w:r w:rsidR="002D3AAA">
          <w:rPr>
            <w:rStyle w:val="Lienhypertexte"/>
            <w:rFonts w:ascii="Open Sans" w:hAnsi="Open Sans" w:cs="Open Sans"/>
            <w:sz w:val="21"/>
            <w:szCs w:val="21"/>
          </w:rPr>
          <w:t>05/01/2022 : TFP - Fixation des montants de l'imposition forfaitaire sur les pylônes au titre de 2022 (CGI, art. 1519 A)</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43"/>
      <w:headerReference w:type="first" r:id="rId44"/>
      <w:footerReference w:type="first" r:id="rId45"/>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C6ECE" w14:textId="77777777" w:rsidR="000F744C" w:rsidRDefault="000F744C">
      <w:r>
        <w:separator/>
      </w:r>
    </w:p>
  </w:endnote>
  <w:endnote w:type="continuationSeparator" w:id="0">
    <w:p w14:paraId="75942BB5" w14:textId="77777777" w:rsidR="000F744C" w:rsidRDefault="000F7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embedRegular r:id="rId1" w:fontKey="{8EDE9D75-71DD-4FBA-A019-265A2AC758D4}"/>
    <w:embedBold r:id="rId2" w:fontKey="{E9882BF8-7A57-45B8-8C79-4D7EB995A04F}"/>
    <w:embedBoldItalic r:id="rId3" w:fontKey="{410CD81E-ACA3-42F9-8C32-A7747F6FB14B}"/>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subsetted="1" w:fontKey="{F00811A9-CC34-4951-8622-F4465529EDFE}"/>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A0C35E33-F747-4294-841C-ED4D9CF0C764}"/>
  </w:font>
  <w:font w:name="Open Sans">
    <w:charset w:val="00"/>
    <w:family w:val="swiss"/>
    <w:pitch w:val="variable"/>
    <w:sig w:usb0="E00002EF" w:usb1="4000205B" w:usb2="00000028" w:usb3="00000000" w:csb0="0000019F" w:csb1="00000000"/>
    <w:embedRegular r:id="rId6" w:fontKey="{F8ACDE37-8152-45C5-8198-58F78BF0C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1FB03" w14:textId="77777777" w:rsidR="000F744C" w:rsidRDefault="000F744C">
      <w:r>
        <w:separator/>
      </w:r>
    </w:p>
  </w:footnote>
  <w:footnote w:type="continuationSeparator" w:id="0">
    <w:p w14:paraId="4B4DC7B2" w14:textId="77777777" w:rsidR="000F744C" w:rsidRDefault="000F7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4365524A"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w:t>
          </w:r>
          <w:r w:rsidR="00307714">
            <w:rPr>
              <w:noProof/>
              <w:sz w:val="20"/>
            </w:rPr>
            <w:t>2-01</w:t>
          </w:r>
          <w:r>
            <w:rPr>
              <w:sz w:val="20"/>
            </w:rPr>
            <w:fldChar w:fldCharType="end"/>
          </w:r>
        </w:p>
        <w:p w14:paraId="6D4A75FB" w14:textId="46FE2214"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8A3BD3">
            <w:rPr>
              <w:sz w:val="20"/>
            </w:rPr>
            <w:t>31</w:t>
          </w:r>
          <w:r w:rsidR="0048009B">
            <w:rPr>
              <w:sz w:val="20"/>
            </w:rPr>
            <w:t xml:space="preserve"> </w:t>
          </w:r>
          <w:r w:rsidR="00307714">
            <w:rPr>
              <w:sz w:val="20"/>
            </w:rPr>
            <w:t>janvier</w:t>
          </w:r>
          <w:r w:rsidR="0048009B">
            <w:rPr>
              <w:sz w:val="20"/>
            </w:rPr>
            <w:t xml:space="preserve"> </w:t>
          </w:r>
          <w:r>
            <w:rPr>
              <w:sz w:val="20"/>
            </w:rPr>
            <w:t>202</w:t>
          </w:r>
          <w:r w:rsidR="00307714">
            <w:rPr>
              <w:sz w:val="20"/>
            </w:rPr>
            <w:t>2</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abstractNum w:abstractNumId="0" w15:restartNumberingAfterBreak="0">
    <w:nsid w:val="06C035E0"/>
    <w:multiLevelType w:val="multilevel"/>
    <w:tmpl w:val="33E6595E"/>
    <w:lvl w:ilvl="0">
      <w:start w:val="1"/>
      <w:numFmt w:val="bullet"/>
      <w:lvlText w:val=""/>
      <w:lvlJc w:val="left"/>
      <w:pPr>
        <w:tabs>
          <w:tab w:val="num" w:pos="513"/>
        </w:tabs>
        <w:ind w:left="513" w:hanging="360"/>
      </w:pPr>
      <w:rPr>
        <w:rFonts w:ascii="Symbol" w:hAnsi="Symbol" w:hint="default"/>
        <w:sz w:val="20"/>
      </w:rPr>
    </w:lvl>
    <w:lvl w:ilvl="1" w:tentative="1">
      <w:start w:val="1"/>
      <w:numFmt w:val="bullet"/>
      <w:lvlText w:val="o"/>
      <w:lvlJc w:val="left"/>
      <w:pPr>
        <w:tabs>
          <w:tab w:val="num" w:pos="1233"/>
        </w:tabs>
        <w:ind w:left="1233" w:hanging="360"/>
      </w:pPr>
      <w:rPr>
        <w:rFonts w:ascii="Courier New" w:hAnsi="Courier New" w:hint="default"/>
        <w:sz w:val="20"/>
      </w:rPr>
    </w:lvl>
    <w:lvl w:ilvl="2" w:tentative="1">
      <w:start w:val="1"/>
      <w:numFmt w:val="bullet"/>
      <w:lvlText w:val=""/>
      <w:lvlJc w:val="left"/>
      <w:pPr>
        <w:tabs>
          <w:tab w:val="num" w:pos="1953"/>
        </w:tabs>
        <w:ind w:left="1953" w:hanging="360"/>
      </w:pPr>
      <w:rPr>
        <w:rFonts w:ascii="Wingdings" w:hAnsi="Wingdings" w:hint="default"/>
        <w:sz w:val="20"/>
      </w:rPr>
    </w:lvl>
    <w:lvl w:ilvl="3" w:tentative="1">
      <w:start w:val="1"/>
      <w:numFmt w:val="bullet"/>
      <w:lvlText w:val=""/>
      <w:lvlJc w:val="left"/>
      <w:pPr>
        <w:tabs>
          <w:tab w:val="num" w:pos="2673"/>
        </w:tabs>
        <w:ind w:left="2673" w:hanging="360"/>
      </w:pPr>
      <w:rPr>
        <w:rFonts w:ascii="Wingdings" w:hAnsi="Wingdings" w:hint="default"/>
        <w:sz w:val="20"/>
      </w:rPr>
    </w:lvl>
    <w:lvl w:ilvl="4" w:tentative="1">
      <w:start w:val="1"/>
      <w:numFmt w:val="bullet"/>
      <w:lvlText w:val=""/>
      <w:lvlJc w:val="left"/>
      <w:pPr>
        <w:tabs>
          <w:tab w:val="num" w:pos="3393"/>
        </w:tabs>
        <w:ind w:left="3393" w:hanging="360"/>
      </w:pPr>
      <w:rPr>
        <w:rFonts w:ascii="Wingdings" w:hAnsi="Wingdings" w:hint="default"/>
        <w:sz w:val="20"/>
      </w:rPr>
    </w:lvl>
    <w:lvl w:ilvl="5" w:tentative="1">
      <w:start w:val="1"/>
      <w:numFmt w:val="bullet"/>
      <w:lvlText w:val=""/>
      <w:lvlJc w:val="left"/>
      <w:pPr>
        <w:tabs>
          <w:tab w:val="num" w:pos="4113"/>
        </w:tabs>
        <w:ind w:left="4113" w:hanging="360"/>
      </w:pPr>
      <w:rPr>
        <w:rFonts w:ascii="Wingdings" w:hAnsi="Wingdings" w:hint="default"/>
        <w:sz w:val="20"/>
      </w:rPr>
    </w:lvl>
    <w:lvl w:ilvl="6" w:tentative="1">
      <w:start w:val="1"/>
      <w:numFmt w:val="bullet"/>
      <w:lvlText w:val=""/>
      <w:lvlJc w:val="left"/>
      <w:pPr>
        <w:tabs>
          <w:tab w:val="num" w:pos="4833"/>
        </w:tabs>
        <w:ind w:left="4833" w:hanging="360"/>
      </w:pPr>
      <w:rPr>
        <w:rFonts w:ascii="Wingdings" w:hAnsi="Wingdings" w:hint="default"/>
        <w:sz w:val="20"/>
      </w:rPr>
    </w:lvl>
    <w:lvl w:ilvl="7" w:tentative="1">
      <w:start w:val="1"/>
      <w:numFmt w:val="bullet"/>
      <w:lvlText w:val=""/>
      <w:lvlJc w:val="left"/>
      <w:pPr>
        <w:tabs>
          <w:tab w:val="num" w:pos="5553"/>
        </w:tabs>
        <w:ind w:left="5553" w:hanging="360"/>
      </w:pPr>
      <w:rPr>
        <w:rFonts w:ascii="Wingdings" w:hAnsi="Wingdings" w:hint="default"/>
        <w:sz w:val="20"/>
      </w:rPr>
    </w:lvl>
    <w:lvl w:ilvl="8" w:tentative="1">
      <w:start w:val="1"/>
      <w:numFmt w:val="bullet"/>
      <w:lvlText w:val=""/>
      <w:lvlJc w:val="left"/>
      <w:pPr>
        <w:tabs>
          <w:tab w:val="num" w:pos="6273"/>
        </w:tabs>
        <w:ind w:left="6273" w:hanging="360"/>
      </w:pPr>
      <w:rPr>
        <w:rFonts w:ascii="Wingdings" w:hAnsi="Wingdings" w:hint="default"/>
        <w:sz w:val="20"/>
      </w:rPr>
    </w:lvl>
  </w:abstractNum>
  <w:abstractNum w:abstractNumId="1"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467B06"/>
    <w:multiLevelType w:val="multilevel"/>
    <w:tmpl w:val="BF5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C44DF"/>
    <w:multiLevelType w:val="multilevel"/>
    <w:tmpl w:val="B68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1B7443"/>
    <w:multiLevelType w:val="multilevel"/>
    <w:tmpl w:val="056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07002"/>
    <w:multiLevelType w:val="multilevel"/>
    <w:tmpl w:val="8FC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26610"/>
    <w:multiLevelType w:val="hybridMultilevel"/>
    <w:tmpl w:val="8FA2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7"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E51AC6"/>
    <w:multiLevelType w:val="multilevel"/>
    <w:tmpl w:val="A9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39"/>
  </w:num>
  <w:num w:numId="5">
    <w:abstractNumId w:val="32"/>
  </w:num>
  <w:num w:numId="6">
    <w:abstractNumId w:val="27"/>
  </w:num>
  <w:num w:numId="7">
    <w:abstractNumId w:val="10"/>
  </w:num>
  <w:num w:numId="8">
    <w:abstractNumId w:val="21"/>
  </w:num>
  <w:num w:numId="9">
    <w:abstractNumId w:val="26"/>
  </w:num>
  <w:num w:numId="10">
    <w:abstractNumId w:val="22"/>
  </w:num>
  <w:num w:numId="11">
    <w:abstractNumId w:val="18"/>
  </w:num>
  <w:num w:numId="12">
    <w:abstractNumId w:val="19"/>
  </w:num>
  <w:num w:numId="13">
    <w:abstractNumId w:val="40"/>
  </w:num>
  <w:num w:numId="14">
    <w:abstractNumId w:val="30"/>
  </w:num>
  <w:num w:numId="15">
    <w:abstractNumId w:val="33"/>
  </w:num>
  <w:num w:numId="16">
    <w:abstractNumId w:val="3"/>
  </w:num>
  <w:num w:numId="17">
    <w:abstractNumId w:val="34"/>
  </w:num>
  <w:num w:numId="18">
    <w:abstractNumId w:val="24"/>
  </w:num>
  <w:num w:numId="19">
    <w:abstractNumId w:val="29"/>
  </w:num>
  <w:num w:numId="20">
    <w:abstractNumId w:val="31"/>
  </w:num>
  <w:num w:numId="21">
    <w:abstractNumId w:val="35"/>
  </w:num>
  <w:num w:numId="22">
    <w:abstractNumId w:val="37"/>
  </w:num>
  <w:num w:numId="23">
    <w:abstractNumId w:val="5"/>
  </w:num>
  <w:num w:numId="24">
    <w:abstractNumId w:val="23"/>
  </w:num>
  <w:num w:numId="25">
    <w:abstractNumId w:val="11"/>
  </w:num>
  <w:num w:numId="26">
    <w:abstractNumId w:val="15"/>
  </w:num>
  <w:num w:numId="27">
    <w:abstractNumId w:val="25"/>
  </w:num>
  <w:num w:numId="28">
    <w:abstractNumId w:val="13"/>
  </w:num>
  <w:num w:numId="29">
    <w:abstractNumId w:val="4"/>
  </w:num>
  <w:num w:numId="30">
    <w:abstractNumId w:val="16"/>
  </w:num>
  <w:num w:numId="31">
    <w:abstractNumId w:val="41"/>
  </w:num>
  <w:num w:numId="32">
    <w:abstractNumId w:val="36"/>
  </w:num>
  <w:num w:numId="33">
    <w:abstractNumId w:val="2"/>
  </w:num>
  <w:num w:numId="34">
    <w:abstractNumId w:val="28"/>
    <w:lvlOverride w:ilvl="0">
      <w:startOverride w:val="17"/>
    </w:lvlOverride>
  </w:num>
  <w:num w:numId="35">
    <w:abstractNumId w:val="28"/>
    <w:lvlOverride w:ilvl="0">
      <w:startOverride w:val="18"/>
    </w:lvlOverride>
  </w:num>
  <w:num w:numId="36">
    <w:abstractNumId w:val="28"/>
    <w:lvlOverride w:ilvl="0">
      <w:startOverride w:val="19"/>
    </w:lvlOverride>
  </w:num>
  <w:num w:numId="37">
    <w:abstractNumId w:val="28"/>
    <w:lvlOverride w:ilvl="0">
      <w:startOverride w:val="20"/>
    </w:lvlOverride>
  </w:num>
  <w:num w:numId="38">
    <w:abstractNumId w:val="28"/>
    <w:lvlOverride w:ilvl="0">
      <w:startOverride w:val="21"/>
    </w:lvlOverride>
  </w:num>
  <w:num w:numId="39">
    <w:abstractNumId w:val="28"/>
    <w:lvlOverride w:ilvl="0">
      <w:startOverride w:val="22"/>
    </w:lvlOverride>
  </w:num>
  <w:num w:numId="40">
    <w:abstractNumId w:val="28"/>
    <w:lvlOverride w:ilvl="0">
      <w:startOverride w:val="23"/>
    </w:lvlOverride>
  </w:num>
  <w:num w:numId="41">
    <w:abstractNumId w:val="17"/>
  </w:num>
  <w:num w:numId="42">
    <w:abstractNumId w:val="0"/>
  </w:num>
  <w:num w:numId="43">
    <w:abstractNumId w:val="9"/>
  </w:num>
  <w:num w:numId="44">
    <w:abstractNumId w:val="38"/>
  </w:num>
  <w:num w:numId="45">
    <w:abstractNumId w:val="14"/>
  </w:num>
  <w:num w:numId="46">
    <w:abstractNumId w:val="20"/>
  </w:num>
  <w:num w:numId="47">
    <w:abstractNumId w:val="8"/>
  </w:num>
  <w:num w:numId="4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4E80"/>
    <w:rsid w:val="000359AC"/>
    <w:rsid w:val="0003696E"/>
    <w:rsid w:val="00036CCB"/>
    <w:rsid w:val="000373EB"/>
    <w:rsid w:val="00040819"/>
    <w:rsid w:val="000413B1"/>
    <w:rsid w:val="00041735"/>
    <w:rsid w:val="00043591"/>
    <w:rsid w:val="00045433"/>
    <w:rsid w:val="00045B52"/>
    <w:rsid w:val="000467C1"/>
    <w:rsid w:val="00046CB6"/>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1001"/>
    <w:rsid w:val="00084540"/>
    <w:rsid w:val="00084558"/>
    <w:rsid w:val="00084B1E"/>
    <w:rsid w:val="00090564"/>
    <w:rsid w:val="00090E39"/>
    <w:rsid w:val="00091823"/>
    <w:rsid w:val="00091C56"/>
    <w:rsid w:val="000933BB"/>
    <w:rsid w:val="0009376D"/>
    <w:rsid w:val="00094A9B"/>
    <w:rsid w:val="0009759D"/>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D778A"/>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44C"/>
    <w:rsid w:val="000F7BEE"/>
    <w:rsid w:val="0010058A"/>
    <w:rsid w:val="00100BDC"/>
    <w:rsid w:val="00100CC9"/>
    <w:rsid w:val="00101247"/>
    <w:rsid w:val="00101993"/>
    <w:rsid w:val="00101DEE"/>
    <w:rsid w:val="00101E9F"/>
    <w:rsid w:val="00101F55"/>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4427"/>
    <w:rsid w:val="001B4789"/>
    <w:rsid w:val="001B5458"/>
    <w:rsid w:val="001B6D1A"/>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0C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5B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3AAA"/>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07714"/>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719"/>
    <w:rsid w:val="003C0A8D"/>
    <w:rsid w:val="003C2ED7"/>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63A5"/>
    <w:rsid w:val="003F7378"/>
    <w:rsid w:val="003F7CBF"/>
    <w:rsid w:val="004002FC"/>
    <w:rsid w:val="004004B3"/>
    <w:rsid w:val="004020D6"/>
    <w:rsid w:val="00404D35"/>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16A3"/>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3F70"/>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292"/>
    <w:rsid w:val="006218A1"/>
    <w:rsid w:val="00621E61"/>
    <w:rsid w:val="0062257E"/>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29B"/>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82D"/>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BD3"/>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149A"/>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67E"/>
    <w:rsid w:val="00BB7CFE"/>
    <w:rsid w:val="00BC0BEB"/>
    <w:rsid w:val="00BC12E2"/>
    <w:rsid w:val="00BC29EE"/>
    <w:rsid w:val="00BC38F3"/>
    <w:rsid w:val="00BC58F2"/>
    <w:rsid w:val="00BC5BFF"/>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2055"/>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6BCE"/>
    <w:rsid w:val="00C275DB"/>
    <w:rsid w:val="00C307AA"/>
    <w:rsid w:val="00C318E6"/>
    <w:rsid w:val="00C33170"/>
    <w:rsid w:val="00C33553"/>
    <w:rsid w:val="00C33D97"/>
    <w:rsid w:val="00C34445"/>
    <w:rsid w:val="00C34B2A"/>
    <w:rsid w:val="00C34D3D"/>
    <w:rsid w:val="00C34E53"/>
    <w:rsid w:val="00C351A6"/>
    <w:rsid w:val="00C3544D"/>
    <w:rsid w:val="00C355A4"/>
    <w:rsid w:val="00C35F18"/>
    <w:rsid w:val="00C372A5"/>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904"/>
    <w:rsid w:val="00D155D9"/>
    <w:rsid w:val="00D1561B"/>
    <w:rsid w:val="00D17EE5"/>
    <w:rsid w:val="00D212B0"/>
    <w:rsid w:val="00D21D4A"/>
    <w:rsid w:val="00D2268A"/>
    <w:rsid w:val="00D24079"/>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3A1C"/>
    <w:rsid w:val="00D83E17"/>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3E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26C9"/>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2D63"/>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826C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 w:type="paragraph" w:customStyle="1" w:styleId="Default">
    <w:name w:val="Default"/>
    <w:rsid w:val="00621292"/>
    <w:pPr>
      <w:autoSpaceDE w:val="0"/>
      <w:autoSpaceDN w:val="0"/>
      <w:adjustRightInd w:val="0"/>
    </w:pPr>
    <w:rPr>
      <w:color w:val="000000"/>
      <w:sz w:val="24"/>
      <w:szCs w:val="24"/>
    </w:rPr>
  </w:style>
  <w:style w:type="character" w:customStyle="1" w:styleId="Titre3Car">
    <w:name w:val="Titre 3 Car"/>
    <w:basedOn w:val="Policepardfaut"/>
    <w:link w:val="Titre3"/>
    <w:uiPriority w:val="9"/>
    <w:semiHidden/>
    <w:rsid w:val="00E826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1474115">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33949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3364">
      <w:bodyDiv w:val="1"/>
      <w:marLeft w:val="0"/>
      <w:marRight w:val="0"/>
      <w:marTop w:val="0"/>
      <w:marBottom w:val="0"/>
      <w:divBdr>
        <w:top w:val="none" w:sz="0" w:space="0" w:color="auto"/>
        <w:left w:val="none" w:sz="0" w:space="0" w:color="auto"/>
        <w:bottom w:val="none" w:sz="0" w:space="0" w:color="auto"/>
        <w:right w:val="none" w:sz="0" w:space="0" w:color="auto"/>
      </w:divBdr>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496804">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39875">
      <w:bodyDiv w:val="1"/>
      <w:marLeft w:val="0"/>
      <w:marRight w:val="0"/>
      <w:marTop w:val="0"/>
      <w:marBottom w:val="0"/>
      <w:divBdr>
        <w:top w:val="none" w:sz="0" w:space="0" w:color="auto"/>
        <w:left w:val="none" w:sz="0" w:space="0" w:color="auto"/>
        <w:bottom w:val="none" w:sz="0" w:space="0" w:color="auto"/>
        <w:right w:val="none" w:sz="0" w:space="0" w:color="auto"/>
      </w:divBdr>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997533256">
      <w:bodyDiv w:val="1"/>
      <w:marLeft w:val="0"/>
      <w:marRight w:val="0"/>
      <w:marTop w:val="0"/>
      <w:marBottom w:val="0"/>
      <w:divBdr>
        <w:top w:val="none" w:sz="0" w:space="0" w:color="auto"/>
        <w:left w:val="none" w:sz="0" w:space="0" w:color="auto"/>
        <w:bottom w:val="none" w:sz="0" w:space="0" w:color="auto"/>
        <w:right w:val="none" w:sz="0" w:space="0" w:color="auto"/>
      </w:divBdr>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5550470">
      <w:bodyDiv w:val="1"/>
      <w:marLeft w:val="0"/>
      <w:marRight w:val="0"/>
      <w:marTop w:val="0"/>
      <w:marBottom w:val="0"/>
      <w:divBdr>
        <w:top w:val="none" w:sz="0" w:space="0" w:color="auto"/>
        <w:left w:val="none" w:sz="0" w:space="0" w:color="auto"/>
        <w:bottom w:val="none" w:sz="0" w:space="0" w:color="auto"/>
        <w:right w:val="none" w:sz="0" w:space="0" w:color="auto"/>
      </w:divBdr>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90451">
      <w:bodyDiv w:val="1"/>
      <w:marLeft w:val="0"/>
      <w:marRight w:val="0"/>
      <w:marTop w:val="0"/>
      <w:marBottom w:val="0"/>
      <w:divBdr>
        <w:top w:val="none" w:sz="0" w:space="0" w:color="auto"/>
        <w:left w:val="none" w:sz="0" w:space="0" w:color="auto"/>
        <w:bottom w:val="none" w:sz="0" w:space="0" w:color="auto"/>
        <w:right w:val="none" w:sz="0" w:space="0" w:color="auto"/>
      </w:divBdr>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6608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14">
          <w:marLeft w:val="0"/>
          <w:marRight w:val="0"/>
          <w:marTop w:val="0"/>
          <w:marBottom w:val="0"/>
          <w:divBdr>
            <w:top w:val="none" w:sz="0" w:space="0" w:color="auto"/>
            <w:left w:val="none" w:sz="0" w:space="0" w:color="auto"/>
            <w:bottom w:val="none" w:sz="0" w:space="0" w:color="auto"/>
            <w:right w:val="none" w:sz="0" w:space="0" w:color="auto"/>
          </w:divBdr>
          <w:divsChild>
            <w:div w:id="1223326537">
              <w:marLeft w:val="0"/>
              <w:marRight w:val="0"/>
              <w:marTop w:val="0"/>
              <w:marBottom w:val="0"/>
              <w:divBdr>
                <w:top w:val="none" w:sz="0" w:space="0" w:color="auto"/>
                <w:left w:val="none" w:sz="0" w:space="0" w:color="auto"/>
                <w:bottom w:val="none" w:sz="0" w:space="0" w:color="auto"/>
                <w:right w:val="none" w:sz="0" w:space="0" w:color="auto"/>
              </w:divBdr>
              <w:divsChild>
                <w:div w:id="872227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641683">
          <w:marLeft w:val="0"/>
          <w:marRight w:val="0"/>
          <w:marTop w:val="0"/>
          <w:marBottom w:val="0"/>
          <w:divBdr>
            <w:top w:val="none" w:sz="0" w:space="0" w:color="auto"/>
            <w:left w:val="none" w:sz="0" w:space="0" w:color="auto"/>
            <w:bottom w:val="none" w:sz="0" w:space="0" w:color="auto"/>
            <w:right w:val="none" w:sz="0" w:space="0" w:color="auto"/>
          </w:divBdr>
          <w:divsChild>
            <w:div w:id="1293364326">
              <w:marLeft w:val="0"/>
              <w:marRight w:val="0"/>
              <w:marTop w:val="0"/>
              <w:marBottom w:val="0"/>
              <w:divBdr>
                <w:top w:val="none" w:sz="0" w:space="0" w:color="auto"/>
                <w:left w:val="none" w:sz="0" w:space="0" w:color="auto"/>
                <w:bottom w:val="none" w:sz="0" w:space="0" w:color="auto"/>
                <w:right w:val="none" w:sz="0" w:space="0" w:color="auto"/>
              </w:divBdr>
              <w:divsChild>
                <w:div w:id="1800217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220714">
          <w:marLeft w:val="0"/>
          <w:marRight w:val="0"/>
          <w:marTop w:val="0"/>
          <w:marBottom w:val="0"/>
          <w:divBdr>
            <w:top w:val="none" w:sz="0" w:space="0" w:color="auto"/>
            <w:left w:val="none" w:sz="0" w:space="0" w:color="auto"/>
            <w:bottom w:val="none" w:sz="0" w:space="0" w:color="auto"/>
            <w:right w:val="none" w:sz="0" w:space="0" w:color="auto"/>
          </w:divBdr>
          <w:divsChild>
            <w:div w:id="973171698">
              <w:marLeft w:val="0"/>
              <w:marRight w:val="0"/>
              <w:marTop w:val="0"/>
              <w:marBottom w:val="0"/>
              <w:divBdr>
                <w:top w:val="none" w:sz="0" w:space="0" w:color="auto"/>
                <w:left w:val="none" w:sz="0" w:space="0" w:color="auto"/>
                <w:bottom w:val="none" w:sz="0" w:space="0" w:color="auto"/>
                <w:right w:val="none" w:sz="0" w:space="0" w:color="auto"/>
              </w:divBdr>
              <w:divsChild>
                <w:div w:id="75301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7394856">
          <w:marLeft w:val="0"/>
          <w:marRight w:val="0"/>
          <w:marTop w:val="0"/>
          <w:marBottom w:val="0"/>
          <w:divBdr>
            <w:top w:val="none" w:sz="0" w:space="0" w:color="auto"/>
            <w:left w:val="none" w:sz="0" w:space="0" w:color="auto"/>
            <w:bottom w:val="none" w:sz="0" w:space="0" w:color="auto"/>
            <w:right w:val="none" w:sz="0" w:space="0" w:color="auto"/>
          </w:divBdr>
          <w:divsChild>
            <w:div w:id="184543920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5210196">
          <w:marLeft w:val="0"/>
          <w:marRight w:val="0"/>
          <w:marTop w:val="0"/>
          <w:marBottom w:val="0"/>
          <w:divBdr>
            <w:top w:val="none" w:sz="0" w:space="0" w:color="auto"/>
            <w:left w:val="none" w:sz="0" w:space="0" w:color="auto"/>
            <w:bottom w:val="none" w:sz="0" w:space="0" w:color="auto"/>
            <w:right w:val="none" w:sz="0" w:space="0" w:color="auto"/>
          </w:divBdr>
          <w:divsChild>
            <w:div w:id="392316928">
              <w:marLeft w:val="0"/>
              <w:marRight w:val="0"/>
              <w:marTop w:val="0"/>
              <w:marBottom w:val="0"/>
              <w:divBdr>
                <w:top w:val="none" w:sz="0" w:space="0" w:color="auto"/>
                <w:left w:val="none" w:sz="0" w:space="0" w:color="auto"/>
                <w:bottom w:val="none" w:sz="0" w:space="0" w:color="auto"/>
                <w:right w:val="none" w:sz="0" w:space="0" w:color="auto"/>
              </w:divBdr>
              <w:divsChild>
                <w:div w:id="163879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9149198">
          <w:marLeft w:val="0"/>
          <w:marRight w:val="0"/>
          <w:marTop w:val="0"/>
          <w:marBottom w:val="0"/>
          <w:divBdr>
            <w:top w:val="none" w:sz="0" w:space="0" w:color="auto"/>
            <w:left w:val="none" w:sz="0" w:space="0" w:color="auto"/>
            <w:bottom w:val="none" w:sz="0" w:space="0" w:color="auto"/>
            <w:right w:val="none" w:sz="0" w:space="0" w:color="auto"/>
          </w:divBdr>
          <w:divsChild>
            <w:div w:id="395249221">
              <w:marLeft w:val="0"/>
              <w:marRight w:val="0"/>
              <w:marTop w:val="0"/>
              <w:marBottom w:val="0"/>
              <w:divBdr>
                <w:top w:val="none" w:sz="0" w:space="0" w:color="auto"/>
                <w:left w:val="none" w:sz="0" w:space="0" w:color="auto"/>
                <w:bottom w:val="none" w:sz="0" w:space="0" w:color="auto"/>
                <w:right w:val="none" w:sz="0" w:space="0" w:color="auto"/>
              </w:divBdr>
              <w:divsChild>
                <w:div w:id="1115905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572865">
          <w:marLeft w:val="0"/>
          <w:marRight w:val="0"/>
          <w:marTop w:val="0"/>
          <w:marBottom w:val="0"/>
          <w:divBdr>
            <w:top w:val="none" w:sz="0" w:space="0" w:color="auto"/>
            <w:left w:val="none" w:sz="0" w:space="0" w:color="auto"/>
            <w:bottom w:val="none" w:sz="0" w:space="0" w:color="auto"/>
            <w:right w:val="none" w:sz="0" w:space="0" w:color="auto"/>
          </w:divBdr>
          <w:divsChild>
            <w:div w:id="1338582042">
              <w:marLeft w:val="0"/>
              <w:marRight w:val="0"/>
              <w:marTop w:val="0"/>
              <w:marBottom w:val="0"/>
              <w:divBdr>
                <w:top w:val="none" w:sz="0" w:space="0" w:color="auto"/>
                <w:left w:val="none" w:sz="0" w:space="0" w:color="auto"/>
                <w:bottom w:val="none" w:sz="0" w:space="0" w:color="auto"/>
                <w:right w:val="none" w:sz="0" w:space="0" w:color="auto"/>
              </w:divBdr>
              <w:divsChild>
                <w:div w:id="272709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175606">
          <w:marLeft w:val="0"/>
          <w:marRight w:val="0"/>
          <w:marTop w:val="0"/>
          <w:marBottom w:val="0"/>
          <w:divBdr>
            <w:top w:val="none" w:sz="0" w:space="0" w:color="auto"/>
            <w:left w:val="none" w:sz="0" w:space="0" w:color="auto"/>
            <w:bottom w:val="none" w:sz="0" w:space="0" w:color="auto"/>
            <w:right w:val="none" w:sz="0" w:space="0" w:color="auto"/>
          </w:divBdr>
          <w:divsChild>
            <w:div w:id="1436049440">
              <w:marLeft w:val="0"/>
              <w:marRight w:val="0"/>
              <w:marTop w:val="0"/>
              <w:marBottom w:val="0"/>
              <w:divBdr>
                <w:top w:val="none" w:sz="0" w:space="0" w:color="auto"/>
                <w:left w:val="none" w:sz="0" w:space="0" w:color="auto"/>
                <w:bottom w:val="none" w:sz="0" w:space="0" w:color="auto"/>
                <w:right w:val="none" w:sz="0" w:space="0" w:color="auto"/>
              </w:divBdr>
              <w:divsChild>
                <w:div w:id="252472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4637640/" TargetMode="External"/><Relationship Id="rId13" Type="http://schemas.openxmlformats.org/officeDocument/2006/relationships/hyperlink" Target="https://www.legifrance.gouv.fr/download/pdf?id=tuJ-YzZKSB-nAqvlqBHix-4mjr5OwyAe8DX5onwllu0=" TargetMode="External"/><Relationship Id="rId18" Type="http://schemas.openxmlformats.org/officeDocument/2006/relationships/hyperlink" Target="https://www.collectivites-locales.gouv.fr/files/Finances%20locales/1.%20pr%C3%A9parer%20et%20ex%C3%A9cuter%20un%20budget/3.%20instruction%20bdgr/2.%20M14/2022/Fiche_M14_MAJ_IBC_01012022.pdf" TargetMode="External"/><Relationship Id="rId26" Type="http://schemas.openxmlformats.org/officeDocument/2006/relationships/hyperlink" Target="https://www.legifrance.gouv.fr/jorf/id/JORFTEXT000044572002" TargetMode="External"/><Relationship Id="rId39" Type="http://schemas.openxmlformats.org/officeDocument/2006/relationships/hyperlink" Target="https://bofip.impots.gouv.fr/bofip/13331-PGP.html/ACTU-2021-00269" TargetMode="External"/><Relationship Id="rId3" Type="http://schemas.openxmlformats.org/officeDocument/2006/relationships/styles" Target="styles.xml"/><Relationship Id="rId21" Type="http://schemas.openxmlformats.org/officeDocument/2006/relationships/hyperlink" Target="https://www.legifrance.gouv.fr/jorf/id/JORFTEXT000044571897" TargetMode="External"/><Relationship Id="rId34" Type="http://schemas.openxmlformats.org/officeDocument/2006/relationships/hyperlink" Target="https://bofip.impots.gouv.fr/bofip/13354-PGP.html/ACTU-2021-00279" TargetMode="External"/><Relationship Id="rId42" Type="http://schemas.openxmlformats.org/officeDocument/2006/relationships/hyperlink" Target="https://bofip.impots.gouv.fr/bofip/13428-PGP.html/ACTU-2021-00313"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jorf/id/JORFTEXT000044615964" TargetMode="External"/><Relationship Id="rId17" Type="http://schemas.openxmlformats.org/officeDocument/2006/relationships/hyperlink" Target="https://www.legifrance.gouv.fr/jorf/id/JORFTEXT000044571792" TargetMode="External"/><Relationship Id="rId25" Type="http://schemas.openxmlformats.org/officeDocument/2006/relationships/hyperlink" Target="https://www.collectivites-locales.gouv.fr/files/Finances%20locales/1.%20pr%C3%A9parer%20et%20ex%C3%A9cuter%20un%20budget/3.%20instruction%20bdgr/10.%20M831/2022/M831_01012022.pdf" TargetMode="External"/><Relationship Id="rId33" Type="http://schemas.openxmlformats.org/officeDocument/2006/relationships/hyperlink" Target="https://www.legifrance.gouv.fr/ceta/id/CETATEXT000044635921?juridiction=CONSEIL_ETAT&amp;juridiction=COURS_APPEL&amp;juridiction=TRIBUNAL_ADMINISTATIF&amp;juridiction=TRIBUNAL_CONFLIT&amp;page=1&amp;pageSize=10&amp;query=*438856&amp;searchField=ALL&amp;searchType=ALL&amp;sortValue=DATE_DESC&amp;tab_selection=cetat" TargetMode="External"/><Relationship Id="rId38" Type="http://schemas.openxmlformats.org/officeDocument/2006/relationships/hyperlink" Target="https://bofip.impots.gouv.fr/bofip/13441-PGP.html/ACTU-2021-00318"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llectivites-locales.gouv.fr/files/Finances%20locales/1.%20pr%C3%A9parer%20et%20ex%C3%A9cuter%20un%20budget/3.%20instruction%20bdgr/3.%20M4/2022/Fiche_IBC_m4_01012022.pdf" TargetMode="External"/><Relationship Id="rId20" Type="http://schemas.openxmlformats.org/officeDocument/2006/relationships/hyperlink" Target="https://www.collectivites-locales.gouv.fr/files/Finances%20locales/1.%20pr%C3%A9parer%20et%20ex%C3%A9cuter%20un%20budget/3.%20instruction%20bdgr/7.%20M52/2022/Fiche_M52_maj_IBC_01012022.pdf" TargetMode="External"/><Relationship Id="rId29" Type="http://schemas.openxmlformats.org/officeDocument/2006/relationships/hyperlink" Target="https://www.legifrance.gouv.fr/jorf/id/JORFTEXT000044592909" TargetMode="External"/><Relationship Id="rId41" Type="http://schemas.openxmlformats.org/officeDocument/2006/relationships/hyperlink" Target="https://bofip.impots.gouv.fr/bofip/13338-PGP.html/ACTU-2021-002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TEXT000044844578" TargetMode="External"/><Relationship Id="rId24" Type="http://schemas.openxmlformats.org/officeDocument/2006/relationships/hyperlink" Target="https://www.legifrance.gouv.fr/jorf/id/JORFTEXT000044571996" TargetMode="External"/><Relationship Id="rId32" Type="http://schemas.openxmlformats.org/officeDocument/2006/relationships/hyperlink" Target="https://www.legifrance.gouv.fr/ceta/id/CETATEXT000044513281?isSuggest=true" TargetMode="External"/><Relationship Id="rId37" Type="http://schemas.openxmlformats.org/officeDocument/2006/relationships/hyperlink" Target="https://bofip.impots.gouv.fr/bofip/13422-PGP.html/ACTU-2021-00311" TargetMode="External"/><Relationship Id="rId40" Type="http://schemas.openxmlformats.org/officeDocument/2006/relationships/hyperlink" Target="https://bofip.impots.gouv.fr/bofip/13445-PGP.html/ACTU-2022-00001"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llectivites-locales.gouv.fr/files/Finances%20locales/1.%20pr%C3%A9parer%20et%20ex%C3%A9cuter%20un%20budget/3.%20instruction%20bdgr/3.%20M4/2022/IBC_m4_annexes_01012022.pdf" TargetMode="External"/><Relationship Id="rId23" Type="http://schemas.openxmlformats.org/officeDocument/2006/relationships/hyperlink" Target="https://www.collectivites-locales.gouv.fr/files/Finances%20locales/1.%20pr%C3%A9parer%20et%20ex%C3%A9cuter%20un%20budget/3.%20instruction%20bdgr/8.%20M61/2022/Fiche_M61_MAJ_IBC_01012022.pdf" TargetMode="External"/><Relationship Id="rId28" Type="http://schemas.openxmlformats.org/officeDocument/2006/relationships/hyperlink" Target="https://www.collectivites-locales.gouv.fr/files/Finances%20locales/1.%20pr%C3%A9parer%20et%20ex%C3%A9cuter%20un%20budget/3.%20instruction%20bdgr/11.%20M832/2022/M832_01012022.pdf" TargetMode="External"/><Relationship Id="rId36" Type="http://schemas.openxmlformats.org/officeDocument/2006/relationships/hyperlink" Target="https://bofip.impots.gouv.fr/bofip/13288-PGP.html/ACTU-2021-00250" TargetMode="External"/><Relationship Id="rId10" Type="http://schemas.openxmlformats.org/officeDocument/2006/relationships/hyperlink" Target="https://www.legifrance.gouv.fr/jorf/id/JORFTEXT000044616468" TargetMode="External"/><Relationship Id="rId19" Type="http://schemas.openxmlformats.org/officeDocument/2006/relationships/hyperlink" Target="https://www.legifrance.gouv.fr/jorf/id/JORFTEXT000044571797" TargetMode="External"/><Relationship Id="rId31" Type="http://schemas.openxmlformats.org/officeDocument/2006/relationships/hyperlink" Target="https://www.bulletin-officiel.developpement-durable.gouv.fr/documents/Bulletinofficiel-0032212/LOGL2138739V.pdf"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gifrance.gouv.fr/jorf/id/JORFTEXT000044637640/" TargetMode="External"/><Relationship Id="rId14" Type="http://schemas.openxmlformats.org/officeDocument/2006/relationships/hyperlink" Target="https://www.collectivites-locales.gouv.fr/files/Finances%20locales/1.%20pr%C3%A9parer%20et%20ex%C3%A9cuter%20un%20budget/3.%20instruction%20bdgr/3.%20M4/2022/IBC_m4_titres123_01012022.pdf" TargetMode="External"/><Relationship Id="rId22" Type="http://schemas.openxmlformats.org/officeDocument/2006/relationships/hyperlink" Target="https://www.legifrance.gouv.fr/jorf/id/JORFTEXT000044571991" TargetMode="External"/><Relationship Id="rId27" Type="http://schemas.openxmlformats.org/officeDocument/2006/relationships/hyperlink" Target="https://www.collectivites-locales.gouv.fr/files/Finances%20locales/1.%20pr%C3%A9parer%20et%20ex%C3%A9cuter%20un%20budget/3.%20instruction%20bdgr/11.%20M832/2022/Fiche_M832_MAJ_IBC_01012022.pdf" TargetMode="External"/><Relationship Id="rId30" Type="http://schemas.openxmlformats.org/officeDocument/2006/relationships/hyperlink" Target="https://www.legifrance.gouv.fr/jorf/id/JORFTEXT000044616436" TargetMode="External"/><Relationship Id="rId35" Type="http://schemas.openxmlformats.org/officeDocument/2006/relationships/hyperlink" Target="https://bofip.impots.gouv.fr/bofip/13447-PGP.html/ACTU-2022-00003" TargetMode="Externa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26</TotalTime>
  <Pages>5</Pages>
  <Words>1120</Words>
  <Characters>12396</Characters>
  <Application>Microsoft Office Word</Application>
  <DocSecurity>0</DocSecurity>
  <Lines>103</Lines>
  <Paragraphs>26</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13490</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81</cp:revision>
  <cp:lastPrinted>2020-08-04T09:31:00Z</cp:lastPrinted>
  <dcterms:created xsi:type="dcterms:W3CDTF">2021-03-04T15:01:00Z</dcterms:created>
  <dcterms:modified xsi:type="dcterms:W3CDTF">2022-01-31T08:55:00Z</dcterms:modified>
</cp:coreProperties>
</file>