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39C0741D"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48009B">
              <w:rPr>
                <w:rFonts w:ascii="Times New Roman" w:eastAsia="Times New Roman" w:hAnsi="Times New Roman"/>
                <w:noProof/>
                <w:sz w:val="20"/>
              </w:rPr>
              <w:t>1</w:t>
            </w:r>
            <w:r w:rsidR="00D83A1C">
              <w:rPr>
                <w:rFonts w:ascii="Times New Roman" w:eastAsia="Times New Roman" w:hAnsi="Times New Roman"/>
                <w:noProof/>
                <w:sz w:val="20"/>
              </w:rPr>
              <w:t>2</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03B90818" w:rsidR="003565C4" w:rsidRPr="00990583" w:rsidRDefault="00E911FE" w:rsidP="00E911FE">
            <w:pPr>
              <w:pStyle w:val="Corpsdetexte"/>
              <w:spacing w:before="0" w:after="0"/>
              <w:ind w:left="-8"/>
            </w:pPr>
            <w:r w:rsidRPr="00990583">
              <w:t>Paris</w:t>
            </w:r>
            <w:r w:rsidR="00B37B52" w:rsidRPr="00990583">
              <w:t xml:space="preserve">, le </w:t>
            </w:r>
            <w:r w:rsidR="008A3BD3">
              <w:t>31</w:t>
            </w:r>
            <w:r w:rsidR="0048009B">
              <w:t xml:space="preserve"> </w:t>
            </w:r>
            <w:r w:rsidR="00D83A1C">
              <w:t>décembre</w:t>
            </w:r>
            <w:r w:rsidR="0048009B">
              <w:t xml:space="preserve"> </w:t>
            </w:r>
            <w:r w:rsidR="00A57E3D" w:rsidRPr="00990583">
              <w:t>2021</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2EFA676C" w:rsidR="00D1561B" w:rsidRDefault="00596118" w:rsidP="00A01213">
      <w:pPr>
        <w:spacing w:before="120" w:after="0" w:line="240" w:lineRule="auto"/>
        <w:ind w:left="1701" w:hanging="1701"/>
      </w:pPr>
      <w:r w:rsidRPr="00122165">
        <w:rPr>
          <w:b/>
        </w:rPr>
        <w:t>IS :</w:t>
      </w:r>
      <w:r w:rsidR="00D47E79">
        <w:t xml:space="preserve"> </w:t>
      </w:r>
      <w:r w:rsidR="00D47E79">
        <w:tab/>
      </w:r>
      <w:r w:rsidR="0039753C">
        <w:t>Taux des intérêts pour les comptes courants d’associés et pour 2021 -</w:t>
      </w:r>
    </w:p>
    <w:p w14:paraId="073D1CB1" w14:textId="575E5A4C" w:rsidR="00916F7D" w:rsidRDefault="00596118" w:rsidP="00A01213">
      <w:pPr>
        <w:spacing w:before="120" w:after="0" w:line="240" w:lineRule="auto"/>
        <w:ind w:left="1701" w:hanging="1701"/>
      </w:pPr>
      <w:r w:rsidRPr="00122165">
        <w:rPr>
          <w:b/>
        </w:rPr>
        <w:t>TVA :</w:t>
      </w:r>
      <w:r w:rsidR="00DB56D6">
        <w:t xml:space="preserve"> </w:t>
      </w:r>
      <w:r w:rsidR="00DB56D6">
        <w:tab/>
      </w:r>
      <w:r w:rsidR="00D04802">
        <w:t>Rien à signaler</w:t>
      </w:r>
    </w:p>
    <w:p w14:paraId="4E8276DC" w14:textId="2F10F77A" w:rsidR="001261C0" w:rsidRDefault="00596118" w:rsidP="00A01213">
      <w:pPr>
        <w:spacing w:before="120" w:after="0" w:line="240" w:lineRule="auto"/>
        <w:ind w:left="1701" w:hanging="1701"/>
      </w:pPr>
      <w:r w:rsidRPr="00122165">
        <w:rPr>
          <w:b/>
        </w:rPr>
        <w:t>Locaux :</w:t>
      </w:r>
      <w:r w:rsidR="004A7406">
        <w:tab/>
      </w:r>
      <w:r w:rsidR="00D04802">
        <w:t>Les réformes de la TEOM – Exonération de TF de 2 ans, sur décision communale – Redevance d’affermage comprise dans l’assiette de la CVAE -</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27F6C1D9" w:rsidR="00B50E23" w:rsidRDefault="00596118" w:rsidP="00A01213">
      <w:pPr>
        <w:spacing w:before="120" w:after="0" w:line="240" w:lineRule="auto"/>
        <w:ind w:left="1701" w:hanging="1701"/>
      </w:pPr>
      <w:r w:rsidRPr="00122165">
        <w:rPr>
          <w:b/>
        </w:rPr>
        <w:t>Divers</w:t>
      </w:r>
      <w:r w:rsidR="004A7406">
        <w:t xml:space="preserve"> :</w:t>
      </w:r>
      <w:r w:rsidR="004A7406">
        <w:tab/>
      </w:r>
      <w:r w:rsidR="00D04802">
        <w:t>DMTO avec engagement de revente si le bien reste immobilier -</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322ED28D" w:rsidR="00B54BDA" w:rsidRDefault="00596118" w:rsidP="00A01213">
      <w:pPr>
        <w:spacing w:before="120" w:after="0" w:line="240" w:lineRule="auto"/>
        <w:ind w:left="1701" w:hanging="1701"/>
      </w:pPr>
      <w:r w:rsidRPr="00122165">
        <w:rPr>
          <w:b/>
        </w:rPr>
        <w:t>Publique :</w:t>
      </w:r>
      <w:r w:rsidR="00B00EF7">
        <w:t xml:space="preserve"> </w:t>
      </w:r>
      <w:r w:rsidR="00B00EF7">
        <w:tab/>
      </w:r>
      <w:r w:rsidR="00235330">
        <w:t>Rien à signaler</w:t>
      </w:r>
    </w:p>
    <w:p w14:paraId="5F6B1C19" w14:textId="32E7CA43" w:rsidR="005A391C" w:rsidRDefault="00596118" w:rsidP="00A01213">
      <w:pPr>
        <w:spacing w:before="120" w:after="0" w:line="240" w:lineRule="auto"/>
        <w:ind w:left="1701" w:hanging="1701"/>
      </w:pPr>
      <w:r w:rsidRPr="00122165">
        <w:rPr>
          <w:b/>
        </w:rPr>
        <w:t>Privée :</w:t>
      </w:r>
      <w:r w:rsidR="00B00EF7">
        <w:t xml:space="preserve"> </w:t>
      </w:r>
      <w:r w:rsidR="00B00EF7">
        <w:tab/>
      </w:r>
      <w:r w:rsidR="00D04802">
        <w:t>Le nouveau travail des OGA et AA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65482EC1" w:rsidR="00B54BDA" w:rsidRDefault="00596118" w:rsidP="00A01213">
      <w:pPr>
        <w:spacing w:before="120" w:after="0" w:line="240" w:lineRule="auto"/>
        <w:ind w:left="1701" w:hanging="1701"/>
      </w:pPr>
      <w:r w:rsidRPr="00122165">
        <w:rPr>
          <w:b/>
        </w:rPr>
        <w:t>Textes :</w:t>
      </w:r>
      <w:r>
        <w:t xml:space="preserve"> </w:t>
      </w:r>
      <w:r w:rsidR="00223947">
        <w:tab/>
      </w:r>
      <w:r w:rsidR="00B6031B">
        <w:t xml:space="preserve"> </w:t>
      </w:r>
      <w:r w:rsidR="00D04802">
        <w:t>Les charges de copropriété que supportent les locataires HLM achetant leur logement – Le code de la fonction publique – Les informations du SIRENE -</w:t>
      </w:r>
    </w:p>
    <w:p w14:paraId="41468130" w14:textId="2809605E" w:rsidR="006B1E5F" w:rsidRDefault="00596118" w:rsidP="00A01213">
      <w:pPr>
        <w:spacing w:before="120" w:after="0" w:line="240" w:lineRule="auto"/>
        <w:ind w:left="1701" w:hanging="1701"/>
      </w:pPr>
      <w:r w:rsidRPr="00122165">
        <w:rPr>
          <w:b/>
        </w:rPr>
        <w:t>Réponses :</w:t>
      </w:r>
      <w:r>
        <w:t xml:space="preserve"> </w:t>
      </w:r>
      <w:r w:rsidR="00223947">
        <w:tab/>
      </w:r>
      <w:r w:rsidR="00D04802">
        <w:t>Rien à signaler</w:t>
      </w:r>
    </w:p>
    <w:p w14:paraId="48D6DEFC" w14:textId="0AC2AEDF" w:rsidR="00CE269F" w:rsidRDefault="00596118" w:rsidP="00A01213">
      <w:pPr>
        <w:spacing w:before="120" w:after="0" w:line="240" w:lineRule="auto"/>
        <w:ind w:left="1701" w:hanging="1701"/>
      </w:pPr>
      <w:r w:rsidRPr="004E2169">
        <w:rPr>
          <w:b/>
          <w:spacing w:val="-8"/>
        </w:rPr>
        <w:t>Jurisprudence :</w:t>
      </w:r>
      <w:r>
        <w:t xml:space="preserve"> </w:t>
      </w:r>
      <w:r w:rsidR="00223947">
        <w:tab/>
      </w:r>
      <w:r w:rsidR="00D04802">
        <w:t>Rien à signaler</w:t>
      </w:r>
    </w:p>
    <w:p w14:paraId="76354D80" w14:textId="259229F4" w:rsidR="00004382" w:rsidRDefault="00596118" w:rsidP="00A01213">
      <w:pPr>
        <w:spacing w:before="120" w:after="0" w:line="240" w:lineRule="auto"/>
        <w:ind w:left="1701" w:hanging="1701"/>
      </w:pPr>
      <w:r w:rsidRPr="00122165">
        <w:rPr>
          <w:b/>
        </w:rPr>
        <w:t>Divers :</w:t>
      </w:r>
      <w:r>
        <w:t xml:space="preserve"> </w:t>
      </w:r>
      <w:r>
        <w:tab/>
      </w:r>
      <w:r w:rsidR="00D04802">
        <w:t>Le rapport 2020 de l’ANCOLS -</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753E6C67" w14:textId="77777777" w:rsidR="0039753C" w:rsidRPr="00235330" w:rsidRDefault="0039753C" w:rsidP="0039753C">
      <w:pPr>
        <w:keepNext/>
        <w:spacing w:before="120" w:after="120" w:line="240" w:lineRule="auto"/>
        <w:rPr>
          <w:rFonts w:cs="Times"/>
          <w:color w:val="003300"/>
          <w:szCs w:val="24"/>
          <w:u w:val="single"/>
        </w:rPr>
      </w:pPr>
      <w:r w:rsidRPr="0039753C">
        <w:rPr>
          <w:color w:val="003300"/>
          <w:u w:val="single"/>
        </w:rPr>
        <w:t>Intérêts des comptes courants</w:t>
      </w:r>
      <w:r>
        <w:rPr>
          <w:color w:val="003300"/>
        </w:rPr>
        <w:t xml:space="preserve"> – Pour 2021 : 1,17%.</w:t>
      </w:r>
    </w:p>
    <w:p w14:paraId="62E80419" w14:textId="52BDB43E"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76450D82" w14:textId="77777777" w:rsidR="00D04802" w:rsidRPr="006F649E" w:rsidRDefault="00D04802" w:rsidP="00D04802">
      <w:pPr>
        <w:keepNext/>
        <w:spacing w:before="120" w:after="0" w:line="240" w:lineRule="auto"/>
        <w:rPr>
          <w:rFonts w:cs="Times"/>
          <w:color w:val="003300"/>
          <w:szCs w:val="24"/>
          <w:u w:val="single"/>
        </w:rPr>
      </w:pPr>
      <w:r>
        <w:rPr>
          <w:color w:val="003300"/>
        </w:rPr>
        <w:t>Rien à signaler</w:t>
      </w:r>
    </w:p>
    <w:p w14:paraId="6CE58C92" w14:textId="5FED2CF5"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159FFC6C" w14:textId="29EF6C6C" w:rsidR="00D83A1C" w:rsidRDefault="00084558" w:rsidP="00426AED">
      <w:pPr>
        <w:spacing w:before="120" w:after="0" w:line="240" w:lineRule="auto"/>
        <w:rPr>
          <w:color w:val="003300"/>
          <w:u w:val="single"/>
        </w:rPr>
      </w:pPr>
      <w:r>
        <w:rPr>
          <w:color w:val="003300"/>
          <w:u w:val="single"/>
        </w:rPr>
        <w:t>TEOM</w:t>
      </w:r>
      <w:r>
        <w:rPr>
          <w:color w:val="003300"/>
        </w:rPr>
        <w:t xml:space="preserve"> – Un point des dernières réformes et du régime de cette taxe.</w:t>
      </w:r>
    </w:p>
    <w:p w14:paraId="6D3F94CA" w14:textId="77777777" w:rsidR="00084558" w:rsidRPr="00084558" w:rsidRDefault="00C02055" w:rsidP="00084558">
      <w:pPr>
        <w:pStyle w:val="NormalWeb"/>
        <w:shd w:val="clear" w:color="auto" w:fill="FFFFFF"/>
        <w:spacing w:before="120" w:after="120"/>
        <w:ind w:left="567"/>
        <w:jc w:val="both"/>
        <w:rPr>
          <w:color w:val="333333"/>
        </w:rPr>
      </w:pPr>
      <w:hyperlink r:id="rId8" w:tooltip="20/12/2021 : IF - Taxe d’enlèvement des ordures ménagères (TEOM) - Mise à jour de la doctrine des évolutions législatives intervenues depuis 2015 (loi n° 2015-1786 du 29 décembre 2015 de finances rectificative pour 2015, art. 53 et 57 ; ordonnance n° 2015-1630" w:history="1">
        <w:r w:rsidR="00084558" w:rsidRPr="00084558">
          <w:rPr>
            <w:rStyle w:val="Lienhypertexte"/>
          </w:rPr>
          <w:t>20/12/2021 : IF - Taxe d’enlèvement des ordures ménagères (TEOM) - Mise à jour de la doctrine des évolutions législatives intervenues depuis 2015 (loi n° 2015-1786 du 29 décembre 2015 de finances rectificative pour 2015, art. 53 et 57 ; ordonnance n° 2015-1630 du 10 décembre 2015, art. 1er à 3 ; loi n° 2016-1918 du 29 décembre 2016 de finances rectificative pour 2016, art. 77. ; loi n° 2017-1775 du 28 décembre 2017 de finances rectificative pour 2017, art. 33 ; loi n° 2018-1837 du 28 décembre 2018 de finances pour 2019, art. 23 ; loi n° 2020-1721 du 29 décembre 2020 de finances pour 2021, art. 135 et 218)</w:t>
        </w:r>
      </w:hyperlink>
    </w:p>
    <w:p w14:paraId="1E81583B" w14:textId="4C108EAC" w:rsidR="00D17EE5" w:rsidRDefault="00D17EE5" w:rsidP="00D17EE5">
      <w:pPr>
        <w:spacing w:before="120" w:after="120" w:line="240" w:lineRule="auto"/>
        <w:rPr>
          <w:color w:val="003300"/>
          <w:u w:val="single"/>
        </w:rPr>
      </w:pPr>
      <w:r>
        <w:rPr>
          <w:color w:val="003300"/>
          <w:u w:val="single"/>
        </w:rPr>
        <w:t>Taxe foncière</w:t>
      </w:r>
      <w:r>
        <w:rPr>
          <w:color w:val="003300"/>
        </w:rPr>
        <w:t xml:space="preserve"> – L’exonération de 2 ans pour les immeubles neufs dépend de la volonté des communes.</w:t>
      </w:r>
    </w:p>
    <w:p w14:paraId="6B1C12DF" w14:textId="77777777" w:rsidR="00D17EE5" w:rsidRPr="00D17EE5" w:rsidRDefault="00C02055" w:rsidP="00D17EE5">
      <w:pPr>
        <w:pStyle w:val="NormalWeb"/>
        <w:shd w:val="clear" w:color="auto" w:fill="FFFFFF"/>
        <w:spacing w:before="120" w:after="120"/>
        <w:ind w:left="567"/>
        <w:jc w:val="both"/>
        <w:rPr>
          <w:color w:val="333333"/>
        </w:rPr>
      </w:pPr>
      <w:hyperlink r:id="rId9" w:tooltip="20/12/2021 : IF - Taxe foncière sur les propriétés bâties - Conséquences du transfert de la part départementale aux communes sur la durée et la portée de l'exonération temporaire prévue à l'article 1383 du CGI (loi n° 2019-1479 du 28 décembre 2019 de la loi de" w:history="1">
        <w:r w:rsidR="00D17EE5" w:rsidRPr="00D17EE5">
          <w:rPr>
            <w:rStyle w:val="Lienhypertexte"/>
          </w:rPr>
          <w:t>20/12/2021 : IF - Taxe foncière sur les propriétés bâties - Conséquences du transfert de la part départementale aux communes sur la durée et la portée de l'exonération temporaire prévue à l'article 1383 du CGI (loi n° 2019-1479 du 28 décembre 2019 de la loi de finances pour 2020, art. 16, II-C-2°)</w:t>
        </w:r>
      </w:hyperlink>
    </w:p>
    <w:p w14:paraId="63C6AE05" w14:textId="0B9CE089" w:rsidR="00D17EE5" w:rsidRPr="00953378" w:rsidRDefault="00953378" w:rsidP="00953378">
      <w:pPr>
        <w:spacing w:before="120" w:after="120" w:line="240" w:lineRule="auto"/>
        <w:rPr>
          <w:color w:val="003300"/>
          <w:u w:val="single"/>
        </w:rPr>
      </w:pPr>
      <w:r>
        <w:rPr>
          <w:color w:val="003300"/>
          <w:u w:val="single"/>
        </w:rPr>
        <w:t>CVAE</w:t>
      </w:r>
      <w:r>
        <w:rPr>
          <w:color w:val="003300"/>
        </w:rPr>
        <w:t xml:space="preserve"> – Les redevances d’affermage ne sont plus déductibles pour le calcul de la CVAE. La doctrine est mise à jour de la jurisprudence.</w:t>
      </w:r>
    </w:p>
    <w:p w14:paraId="19118ED4" w14:textId="77777777" w:rsidR="00953378" w:rsidRPr="00953378" w:rsidRDefault="00C02055" w:rsidP="00953378">
      <w:pPr>
        <w:pStyle w:val="NormalWeb"/>
        <w:shd w:val="clear" w:color="auto" w:fill="FFFFFF"/>
        <w:spacing w:before="120" w:after="120"/>
        <w:ind w:left="567"/>
        <w:jc w:val="both"/>
        <w:rPr>
          <w:color w:val="333333"/>
        </w:rPr>
      </w:pPr>
      <w:hyperlink r:id="rId10" w:tooltip="22/12/2021 : CVAE - Valeur ajoutée - Déduction des redevances domaniales afférentes à des contrats de délégation de service public - Jurisprudence (CE, décisions du 24 février 2020, n°433881, n°433882 et n°433883)" w:history="1">
        <w:r w:rsidR="00953378" w:rsidRPr="00953378">
          <w:rPr>
            <w:rStyle w:val="Lienhypertexte"/>
          </w:rPr>
          <w:t>22/12/2021 : CVAE - Valeur ajoutée - Déduction des redevances domaniales afférentes à des contrats de délégation de service public - Jurisprudence (CE, décisions du 24 février 2020, n°433881, n°433882 et n°433883)</w:t>
        </w:r>
      </w:hyperlink>
    </w:p>
    <w:p w14:paraId="034CD263" w14:textId="7DF4063B" w:rsidR="00426AED" w:rsidRPr="00D61BAB" w:rsidRDefault="00426AED" w:rsidP="00084558">
      <w:pPr>
        <w:spacing w:before="120" w:after="12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644BEA41" w14:textId="13BD272F" w:rsidR="000A508A" w:rsidRPr="00D04802" w:rsidRDefault="00D04802" w:rsidP="00084558">
      <w:pPr>
        <w:keepNext/>
        <w:spacing w:before="120" w:after="120" w:line="240" w:lineRule="auto"/>
        <w:rPr>
          <w:rFonts w:cs="Times"/>
          <w:color w:val="003300"/>
          <w:szCs w:val="24"/>
        </w:rPr>
      </w:pPr>
      <w:r w:rsidRPr="00D04802">
        <w:rPr>
          <w:color w:val="003300"/>
        </w:rPr>
        <w:t>Rien à signaler</w:t>
      </w:r>
    </w:p>
    <w:p w14:paraId="20AC9049" w14:textId="4EA0B02B" w:rsidR="00876847" w:rsidRDefault="00BA1DA3" w:rsidP="00084558">
      <w:pPr>
        <w:spacing w:before="120" w:after="120" w:line="240" w:lineRule="auto"/>
        <w:rPr>
          <w:rFonts w:cs="Times"/>
          <w:color w:val="003300"/>
          <w:szCs w:val="24"/>
        </w:rPr>
      </w:pPr>
      <w:r w:rsidRPr="004C4D76">
        <w:rPr>
          <w:rFonts w:cs="Times"/>
          <w:b/>
          <w:szCs w:val="24"/>
        </w:rPr>
        <w:t>1.5</w:t>
      </w:r>
      <w:r w:rsidRPr="004C4D76">
        <w:rPr>
          <w:rFonts w:cs="Times"/>
          <w:b/>
          <w:szCs w:val="24"/>
        </w:rPr>
        <w:tab/>
        <w:t>Divers</w:t>
      </w:r>
    </w:p>
    <w:p w14:paraId="4BF4D7D5" w14:textId="4566E7FD" w:rsidR="00BD7137" w:rsidRDefault="007A4FCF" w:rsidP="00084558">
      <w:pPr>
        <w:spacing w:before="120" w:after="120" w:line="240" w:lineRule="auto"/>
        <w:rPr>
          <w:color w:val="003300"/>
        </w:rPr>
      </w:pPr>
      <w:r w:rsidRPr="007A4FCF">
        <w:rPr>
          <w:color w:val="003300"/>
          <w:u w:val="single"/>
        </w:rPr>
        <w:t>Engagement de revente</w:t>
      </w:r>
      <w:r>
        <w:rPr>
          <w:color w:val="003300"/>
        </w:rPr>
        <w:t xml:space="preserve"> – Maintien des DMTO réduits seulement si le bien reste immobilier (cas d’une cession de titres d’une société à prépondérance immobilière qui cède peu </w:t>
      </w:r>
      <w:proofErr w:type="spellStart"/>
      <w:r>
        <w:rPr>
          <w:color w:val="003300"/>
        </w:rPr>
        <w:t>parès</w:t>
      </w:r>
      <w:proofErr w:type="spellEnd"/>
      <w:r>
        <w:rPr>
          <w:color w:val="003300"/>
        </w:rPr>
        <w:t xml:space="preserve"> ses immeubles).</w:t>
      </w:r>
    </w:p>
    <w:p w14:paraId="17DEA2D7" w14:textId="572A5EEA" w:rsidR="007A4FCF" w:rsidRPr="007A4FCF" w:rsidRDefault="00C02055" w:rsidP="007A4FCF">
      <w:pPr>
        <w:spacing w:before="120" w:after="120" w:line="240" w:lineRule="auto"/>
        <w:ind w:left="567"/>
        <w:rPr>
          <w:rFonts w:cs="Times"/>
          <w:szCs w:val="24"/>
        </w:rPr>
      </w:pPr>
      <w:hyperlink r:id="rId11" w:history="1">
        <w:r w:rsidR="007A4FCF" w:rsidRPr="007A4FCF">
          <w:rPr>
            <w:rStyle w:val="Lienhypertexte"/>
            <w:rFonts w:cs="Times"/>
            <w:szCs w:val="24"/>
          </w:rPr>
          <w:t>Cass. com. 24-11-2021 n° 19-17.281</w:t>
        </w:r>
      </w:hyperlink>
    </w:p>
    <w:p w14:paraId="5380879D" w14:textId="77777777" w:rsidR="006E12CD" w:rsidRDefault="006E12CD" w:rsidP="00084558">
      <w:pPr>
        <w:keepNext/>
        <w:spacing w:before="120" w:after="120" w:line="240" w:lineRule="auto"/>
        <w:rPr>
          <w:color w:val="003300"/>
        </w:rPr>
      </w:pPr>
    </w:p>
    <w:p w14:paraId="20C76B2E" w14:textId="3C1CB255" w:rsidR="00E935A2" w:rsidRPr="006320BB" w:rsidRDefault="00E935A2" w:rsidP="00084558">
      <w:pPr>
        <w:keepNext/>
        <w:spacing w:before="120" w:after="12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084558">
      <w:pPr>
        <w:keepNext/>
        <w:spacing w:before="120" w:after="120" w:line="240" w:lineRule="auto"/>
        <w:jc w:val="left"/>
        <w:rPr>
          <w:rFonts w:cs="Times"/>
          <w:b/>
          <w:szCs w:val="24"/>
        </w:rPr>
      </w:pPr>
      <w:r w:rsidRPr="006320BB">
        <w:rPr>
          <w:rFonts w:cs="Times"/>
          <w:b/>
          <w:szCs w:val="24"/>
        </w:rPr>
        <w:t>2.1</w:t>
      </w:r>
      <w:r w:rsidRPr="006320BB">
        <w:rPr>
          <w:rFonts w:cs="Times"/>
          <w:b/>
          <w:szCs w:val="24"/>
        </w:rPr>
        <w:tab/>
        <w:t>Comptabilité publique</w:t>
      </w:r>
    </w:p>
    <w:p w14:paraId="0CFE888A" w14:textId="31F3A4BD" w:rsidR="003C0719" w:rsidRPr="0039753C" w:rsidRDefault="0039753C" w:rsidP="00084558">
      <w:pPr>
        <w:keepNext/>
        <w:spacing w:before="120" w:after="120" w:line="240" w:lineRule="auto"/>
        <w:rPr>
          <w:rFonts w:cs="Times"/>
          <w:color w:val="003300"/>
          <w:szCs w:val="24"/>
        </w:rPr>
      </w:pPr>
      <w:r w:rsidRPr="0039753C">
        <w:rPr>
          <w:color w:val="003300"/>
        </w:rPr>
        <w:t>Rien à signaler</w:t>
      </w:r>
    </w:p>
    <w:p w14:paraId="1E12E0B0" w14:textId="0272E66D" w:rsidR="00925661" w:rsidRDefault="00E935A2" w:rsidP="00084558">
      <w:pPr>
        <w:keepNext/>
        <w:spacing w:before="120" w:after="120" w:line="240" w:lineRule="auto"/>
        <w:rPr>
          <w:rFonts w:cs="Times"/>
          <w:b/>
          <w:szCs w:val="24"/>
        </w:rPr>
      </w:pPr>
      <w:r w:rsidRPr="006320BB">
        <w:rPr>
          <w:rFonts w:cs="Times"/>
          <w:b/>
          <w:szCs w:val="24"/>
        </w:rPr>
        <w:t>2.2</w:t>
      </w:r>
      <w:r w:rsidRPr="006320BB">
        <w:rPr>
          <w:rFonts w:cs="Times"/>
          <w:b/>
          <w:szCs w:val="24"/>
        </w:rPr>
        <w:tab/>
        <w:t>Comptabilité privée</w:t>
      </w:r>
    </w:p>
    <w:p w14:paraId="30574F51" w14:textId="49747890" w:rsidR="00084558" w:rsidRPr="00235330" w:rsidRDefault="00084558" w:rsidP="00084558">
      <w:pPr>
        <w:keepNext/>
        <w:spacing w:before="120" w:after="120" w:line="240" w:lineRule="auto"/>
        <w:rPr>
          <w:rFonts w:cs="Times"/>
          <w:color w:val="003300"/>
          <w:szCs w:val="24"/>
          <w:u w:val="single"/>
        </w:rPr>
      </w:pPr>
      <w:r w:rsidRPr="00084558">
        <w:rPr>
          <w:color w:val="003300"/>
          <w:u w:val="single"/>
        </w:rPr>
        <w:t>Centres de gestion et associations agréés</w:t>
      </w:r>
      <w:r>
        <w:rPr>
          <w:color w:val="003300"/>
        </w:rPr>
        <w:t xml:space="preserve"> – La frontière avec l’expertise comptable est soit floue, soit précisée, au choix…</w:t>
      </w:r>
    </w:p>
    <w:p w14:paraId="68DDA89C" w14:textId="77777777" w:rsidR="00084558" w:rsidRPr="00084558" w:rsidRDefault="00C02055" w:rsidP="00084558">
      <w:pPr>
        <w:pStyle w:val="NormalWeb"/>
        <w:shd w:val="clear" w:color="auto" w:fill="FFFFFF"/>
        <w:spacing w:before="120" w:after="120"/>
        <w:ind w:left="567"/>
        <w:jc w:val="both"/>
        <w:rPr>
          <w:color w:val="333333"/>
        </w:rPr>
      </w:pPr>
      <w:hyperlink r:id="rId12" w:tooltip="20/12/2021 : Organismes de gestion agréés - Précisions relatives à l'activité des OGA et des professionnels de l'expertise comptable, à leurs moyens financiers, et à la périodicité du contrôle qualité (décret n° 2021-1303 du 7 octobre 2021 relatif aux services" w:history="1">
        <w:r w:rsidR="00084558" w:rsidRPr="00084558">
          <w:rPr>
            <w:rStyle w:val="Lienhypertexte"/>
          </w:rPr>
          <w:t>20/12/2021 : Organismes de gestion agréés - Précisions relatives à l'activité des OGA et des professionnels de l'expertise comptable, à leurs moyens financiers, et à la périodicité du contrôle qualité (décret n° 2021-1303 du 7 octobre 2021 relatif aux services fournis par les centres de gestion et associations agréés aux entreprises et professionnels non-adhérents et adhérents, décret n° 2021-25 du 13 janvier 2021 portant création de l'examen de conformité fiscale (entreprises - publication urgente)</w:t>
        </w:r>
      </w:hyperlink>
    </w:p>
    <w:p w14:paraId="085F9E3E" w14:textId="7A2FE0CF" w:rsidR="00D83A1C" w:rsidRDefault="00D83A1C" w:rsidP="00235330">
      <w:pPr>
        <w:spacing w:before="120" w:after="0" w:line="240" w:lineRule="auto"/>
        <w:rPr>
          <w:b/>
          <w:bCs/>
        </w:rPr>
      </w:pPr>
    </w:p>
    <w:p w14:paraId="077EA3B3" w14:textId="1057619F"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421319F0" w14:textId="737319BA" w:rsidR="00432481" w:rsidRDefault="00432481" w:rsidP="00432481">
      <w:pPr>
        <w:keepNext/>
        <w:spacing w:before="120" w:after="120" w:line="240" w:lineRule="auto"/>
        <w:rPr>
          <w:color w:val="003300"/>
        </w:rPr>
      </w:pPr>
      <w:r>
        <w:rPr>
          <w:color w:val="003300"/>
          <w:u w:val="single"/>
        </w:rPr>
        <w:t>Ventes aux locataires</w:t>
      </w:r>
      <w:r>
        <w:rPr>
          <w:color w:val="003300"/>
        </w:rPr>
        <w:t xml:space="preserve"> – Pour favoriser la vente HLM, les acquéreurs ne paieront pas tout de suite toutes les charges de copropriété.</w:t>
      </w:r>
    </w:p>
    <w:p w14:paraId="21AEEB69" w14:textId="609961FD" w:rsidR="00432481" w:rsidRPr="00432481" w:rsidRDefault="00C02055" w:rsidP="00432481">
      <w:pPr>
        <w:keepNext/>
        <w:spacing w:before="120" w:after="120" w:line="240" w:lineRule="auto"/>
        <w:ind w:left="567"/>
        <w:rPr>
          <w:rFonts w:cs="Times"/>
          <w:szCs w:val="24"/>
        </w:rPr>
      </w:pPr>
      <w:hyperlink r:id="rId13" w:history="1">
        <w:r w:rsidR="00432481" w:rsidRPr="00432481">
          <w:rPr>
            <w:rStyle w:val="Lienhypertexte"/>
            <w:rFonts w:cs="Times"/>
            <w:szCs w:val="24"/>
          </w:rPr>
          <w:t>Décret n° 2021-1534</w:t>
        </w:r>
      </w:hyperlink>
      <w:r w:rsidR="00432481" w:rsidRPr="00432481">
        <w:rPr>
          <w:rFonts w:cs="Times"/>
          <w:szCs w:val="24"/>
        </w:rPr>
        <w:t xml:space="preserve"> du 26 novembre 2021 pris pour l'application de l'ordonnance n° 2019-418 du 7 mai 2019 relative à la vente de logements appartenant à des organismes d'habitations à loyer modéré à des personnes physiques avec application différée du statut de la copropriété</w:t>
      </w:r>
    </w:p>
    <w:p w14:paraId="5799EC41" w14:textId="2C0EB59A" w:rsidR="00D83A1C" w:rsidRDefault="00C35F18" w:rsidP="00B6031B">
      <w:pPr>
        <w:spacing w:before="120" w:after="0" w:line="240" w:lineRule="auto"/>
      </w:pPr>
      <w:r>
        <w:rPr>
          <w:color w:val="003300"/>
          <w:u w:val="single"/>
        </w:rPr>
        <w:t>La fonction publique</w:t>
      </w:r>
      <w:r>
        <w:rPr>
          <w:color w:val="003300"/>
        </w:rPr>
        <w:t xml:space="preserve"> – Il y a maintenant un code.</w:t>
      </w:r>
    </w:p>
    <w:p w14:paraId="1C5C6125" w14:textId="07237F09" w:rsidR="0082738F" w:rsidRDefault="00C02055" w:rsidP="00C35F18">
      <w:pPr>
        <w:spacing w:before="120" w:after="0" w:line="240" w:lineRule="auto"/>
        <w:ind w:left="567"/>
      </w:pPr>
      <w:hyperlink r:id="rId14" w:history="1">
        <w:r w:rsidR="0082738F" w:rsidRPr="00C35F18">
          <w:rPr>
            <w:rStyle w:val="Lienhypertexte"/>
          </w:rPr>
          <w:t>Ordonnance n° 2021-1574</w:t>
        </w:r>
      </w:hyperlink>
      <w:r w:rsidR="0082738F" w:rsidRPr="0082738F">
        <w:t xml:space="preserve"> du 24 novembre 2021 portant partie législative du code général de la fonction publique</w:t>
      </w:r>
    </w:p>
    <w:p w14:paraId="00A4CFF5" w14:textId="22E3E191" w:rsidR="0082738F" w:rsidRPr="006156F9" w:rsidRDefault="006156F9" w:rsidP="00B6031B">
      <w:pPr>
        <w:spacing w:before="120" w:after="0" w:line="240" w:lineRule="auto"/>
        <w:rPr>
          <w:color w:val="003300"/>
        </w:rPr>
      </w:pPr>
      <w:r w:rsidRPr="006156F9">
        <w:rPr>
          <w:color w:val="003300"/>
          <w:u w:val="single"/>
        </w:rPr>
        <w:t>Simplification administrative</w:t>
      </w:r>
      <w:r w:rsidRPr="006156F9">
        <w:rPr>
          <w:color w:val="003300"/>
        </w:rPr>
        <w:t xml:space="preserve"> – La liste des informations à publier au SIRENE s’allonge.</w:t>
      </w:r>
    </w:p>
    <w:p w14:paraId="6F3C5E0C" w14:textId="1B9B4F9A" w:rsidR="0082738F" w:rsidRDefault="00C02055" w:rsidP="006156F9">
      <w:pPr>
        <w:spacing w:before="120" w:after="0" w:line="240" w:lineRule="auto"/>
        <w:ind w:left="567"/>
      </w:pPr>
      <w:hyperlink r:id="rId15" w:history="1">
        <w:r w:rsidR="006156F9" w:rsidRPr="006156F9">
          <w:rPr>
            <w:rStyle w:val="Lienhypertexte"/>
          </w:rPr>
          <w:t>Décret n° 2021-1500</w:t>
        </w:r>
      </w:hyperlink>
      <w:r w:rsidR="006156F9" w:rsidRPr="006156F9">
        <w:t xml:space="preserve"> du 17 novembre 2021 relatif à l'ajout de renseignements au répertoire national mentionné à l'article R. 123-220 du code de commerce</w:t>
      </w:r>
    </w:p>
    <w:p w14:paraId="17D13BC7" w14:textId="77717B73" w:rsidR="00E935A2" w:rsidRDefault="00AB002C" w:rsidP="00B6031B">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4B1B6317" w14:textId="14134799" w:rsidR="00D83A1C" w:rsidRPr="00D04802" w:rsidRDefault="00D04802" w:rsidP="00B6031B">
      <w:pPr>
        <w:spacing w:before="120" w:after="0" w:line="240" w:lineRule="auto"/>
        <w:rPr>
          <w:color w:val="003300"/>
        </w:rPr>
      </w:pPr>
      <w:r w:rsidRPr="00D04802">
        <w:rPr>
          <w:color w:val="003300"/>
        </w:rPr>
        <w:t>Rien à signaler</w:t>
      </w:r>
    </w:p>
    <w:p w14:paraId="7D92344F" w14:textId="47094EA8" w:rsidR="00331173" w:rsidRDefault="00331173" w:rsidP="00B6031B">
      <w:pPr>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68166FE3" w14:textId="0CAA02B3" w:rsidR="00D83A1C" w:rsidRPr="00D04802" w:rsidRDefault="00D04802" w:rsidP="00B6031B">
      <w:pPr>
        <w:spacing w:before="120" w:after="0" w:line="240" w:lineRule="auto"/>
        <w:rPr>
          <w:color w:val="003300"/>
        </w:rPr>
      </w:pPr>
      <w:r w:rsidRPr="00D04802">
        <w:rPr>
          <w:color w:val="003300"/>
        </w:rPr>
        <w:t>Rien à signaler</w:t>
      </w:r>
    </w:p>
    <w:p w14:paraId="24D1A5D0" w14:textId="74B53DF2" w:rsidR="005A17CC" w:rsidRPr="00142627" w:rsidRDefault="001F3614" w:rsidP="00B6031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BF98B66" w14:textId="48C220D1" w:rsidR="006F649E" w:rsidRDefault="0082738F" w:rsidP="006F649E">
      <w:pPr>
        <w:keepNext/>
        <w:spacing w:before="120" w:after="0" w:line="240" w:lineRule="auto"/>
        <w:rPr>
          <w:color w:val="003300"/>
        </w:rPr>
      </w:pPr>
      <w:r w:rsidRPr="0082738F">
        <w:rPr>
          <w:color w:val="003300"/>
          <w:u w:val="single"/>
        </w:rPr>
        <w:t>ANCOLS 2020</w:t>
      </w:r>
      <w:r>
        <w:rPr>
          <w:color w:val="003300"/>
        </w:rPr>
        <w:t xml:space="preserve"> – Le rapport (RPAC) pour 2020.</w:t>
      </w:r>
    </w:p>
    <w:p w14:paraId="5A71BAD4" w14:textId="3AE77B18" w:rsidR="0082738F" w:rsidRPr="00235330" w:rsidRDefault="00C02055" w:rsidP="0082738F">
      <w:pPr>
        <w:keepNext/>
        <w:spacing w:before="120" w:after="0" w:line="240" w:lineRule="auto"/>
        <w:ind w:left="567"/>
        <w:rPr>
          <w:rFonts w:cs="Times"/>
          <w:color w:val="003300"/>
          <w:szCs w:val="24"/>
          <w:u w:val="single"/>
        </w:rPr>
      </w:pPr>
      <w:hyperlink r:id="rId16" w:history="1">
        <w:r w:rsidR="0082738F" w:rsidRPr="0082738F">
          <w:rPr>
            <w:rStyle w:val="Lienhypertexte"/>
          </w:rPr>
          <w:t>Rapport public annuel de contrôle</w:t>
        </w:r>
      </w:hyperlink>
    </w:p>
    <w:p w14:paraId="249E70FC" w14:textId="77777777" w:rsidR="001E5D0A" w:rsidRDefault="001E5D0A">
      <w:pPr>
        <w:spacing w:before="0" w:after="0" w:line="240" w:lineRule="auto"/>
        <w:jc w:val="left"/>
      </w:pPr>
    </w:p>
    <w:p w14:paraId="6E1B19DF" w14:textId="710D5264" w:rsidR="00142627" w:rsidRDefault="00142627">
      <w:pPr>
        <w:spacing w:before="0" w:after="0" w:line="240" w:lineRule="auto"/>
        <w:jc w:val="left"/>
      </w:pPr>
      <w:r>
        <w:br w:type="page"/>
      </w:r>
    </w:p>
    <w:p w14:paraId="2649CADA" w14:textId="6D61491D"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6BF0D7D2" w14:textId="77777777" w:rsidR="008A3BD3" w:rsidRDefault="008A3BD3" w:rsidP="008A3BD3">
      <w:pPr>
        <w:pStyle w:val="NormalWeb"/>
        <w:shd w:val="clear" w:color="auto" w:fill="FFFFFF"/>
        <w:spacing w:before="0" w:after="150"/>
        <w:jc w:val="both"/>
        <w:rPr>
          <w:rFonts w:ascii="Open Sans" w:hAnsi="Open Sans" w:cs="Open Sans"/>
          <w:color w:val="333333"/>
          <w:sz w:val="21"/>
          <w:szCs w:val="21"/>
        </w:rPr>
      </w:pPr>
      <w:hyperlink r:id="rId17" w:tooltip="29/12/2021 : TVA - Opérations réalisées entre entités d'une même personne morale - Jurisprudence (CJUE, décision du 17 septembre 2014, aff. C-7/13, « Skandia America Corp. »)" w:history="1">
        <w:r>
          <w:rPr>
            <w:rStyle w:val="Lienhypertexte"/>
            <w:rFonts w:ascii="Open Sans" w:hAnsi="Open Sans" w:cs="Open Sans"/>
            <w:sz w:val="21"/>
            <w:szCs w:val="21"/>
          </w:rPr>
          <w:t xml:space="preserve">29/12/2021 : TVA - Opérations réalisées entre entités d'une même personne morale - Jurisprudence (CJUE, décision du 17 septembre 2014, </w:t>
        </w:r>
        <w:proofErr w:type="spellStart"/>
        <w:r>
          <w:rPr>
            <w:rStyle w:val="Lienhypertexte"/>
            <w:rFonts w:ascii="Open Sans" w:hAnsi="Open Sans" w:cs="Open Sans"/>
            <w:sz w:val="21"/>
            <w:szCs w:val="21"/>
          </w:rPr>
          <w:t>aff.</w:t>
        </w:r>
        <w:proofErr w:type="spellEnd"/>
        <w:r>
          <w:rPr>
            <w:rStyle w:val="Lienhypertexte"/>
            <w:rFonts w:ascii="Open Sans" w:hAnsi="Open Sans" w:cs="Open Sans"/>
            <w:sz w:val="21"/>
            <w:szCs w:val="21"/>
          </w:rPr>
          <w:t xml:space="preserve"> C-7/13, « </w:t>
        </w:r>
        <w:proofErr w:type="spellStart"/>
        <w:r>
          <w:rPr>
            <w:rStyle w:val="Lienhypertexte"/>
            <w:rFonts w:ascii="Open Sans" w:hAnsi="Open Sans" w:cs="Open Sans"/>
            <w:sz w:val="21"/>
            <w:szCs w:val="21"/>
          </w:rPr>
          <w:t>Skandia</w:t>
        </w:r>
        <w:proofErr w:type="spellEnd"/>
        <w:r>
          <w:rPr>
            <w:rStyle w:val="Lienhypertexte"/>
            <w:rFonts w:ascii="Open Sans" w:hAnsi="Open Sans" w:cs="Open Sans"/>
            <w:sz w:val="21"/>
            <w:szCs w:val="21"/>
          </w:rPr>
          <w:t xml:space="preserve"> America Corp. »)</w:t>
        </w:r>
      </w:hyperlink>
    </w:p>
    <w:p w14:paraId="11948B2D" w14:textId="77777777" w:rsidR="008A3BD3" w:rsidRDefault="008A3BD3" w:rsidP="008A3BD3">
      <w:pPr>
        <w:pStyle w:val="NormalWeb"/>
        <w:shd w:val="clear" w:color="auto" w:fill="FFFFFF"/>
        <w:spacing w:before="0" w:after="150"/>
        <w:jc w:val="both"/>
        <w:rPr>
          <w:rFonts w:ascii="Open Sans" w:hAnsi="Open Sans" w:cs="Open Sans"/>
          <w:color w:val="333333"/>
          <w:sz w:val="21"/>
          <w:szCs w:val="21"/>
        </w:rPr>
      </w:pPr>
      <w:hyperlink r:id="rId18" w:tooltip="29/12/2021 : TCA - Taxe sur les transactions financières - Mise à jour de la liste des sociétés dont la capitalisation boursière dépasse un milliard d'euros au 1er décembre 2021" w:history="1">
        <w:r>
          <w:rPr>
            <w:rStyle w:val="Lienhypertexte"/>
            <w:rFonts w:ascii="Open Sans" w:hAnsi="Open Sans" w:cs="Open Sans"/>
            <w:sz w:val="21"/>
            <w:szCs w:val="21"/>
          </w:rPr>
          <w:t>29/12/2021 : TCA - Taxe sur les transactions financières - Mise à jour de la liste des sociétés dont la capitalisation boursière dépasse un milliard d'euros au 1er décembre 2021</w:t>
        </w:r>
      </w:hyperlink>
    </w:p>
    <w:p w14:paraId="0AAC08CE" w14:textId="77777777" w:rsidR="008A3BD3" w:rsidRDefault="008A3BD3" w:rsidP="008A3BD3">
      <w:pPr>
        <w:pStyle w:val="NormalWeb"/>
        <w:shd w:val="clear" w:color="auto" w:fill="FFFFFF"/>
        <w:spacing w:before="0" w:after="150"/>
        <w:jc w:val="both"/>
        <w:rPr>
          <w:rFonts w:ascii="Open Sans" w:hAnsi="Open Sans" w:cs="Open Sans"/>
          <w:color w:val="333333"/>
          <w:sz w:val="21"/>
          <w:szCs w:val="21"/>
        </w:rPr>
      </w:pPr>
      <w:hyperlink r:id="rId19" w:tooltip="29/12/2021 : IS - Fusions et opérations assimilées - Maintien du droit au report des déficits transférés sur agrément en cas de changement d'activité de la société bénéficiaire - Rescrit" w:history="1">
        <w:r>
          <w:rPr>
            <w:rStyle w:val="Lienhypertexte"/>
            <w:rFonts w:ascii="Open Sans" w:hAnsi="Open Sans" w:cs="Open Sans"/>
            <w:sz w:val="21"/>
            <w:szCs w:val="21"/>
          </w:rPr>
          <w:t>29/12/2021 : IS - Fusions et opérations assimilées - Maintien du droit au report des déficits transférés sur agrément en cas de changement d'activité de la société bénéficiaire - Rescrit</w:t>
        </w:r>
      </w:hyperlink>
    </w:p>
    <w:p w14:paraId="57F8CE3A"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0" w:tooltip="22/12/2021 : TVA - Paquet TVA sur le commerce électronique - Réfome des règles de TVA applicables aux opérations du commerce électronique (loi n° 2020-1721 du 29 décembre 2020 de finances pour 2021, art. 51 ; loi n° 2019-1479 du 28 décembre 2019 de finances po" w:history="1">
        <w:r w:rsidR="00D83A1C">
          <w:rPr>
            <w:rStyle w:val="Lienhypertexte"/>
            <w:rFonts w:ascii="Open Sans" w:hAnsi="Open Sans" w:cs="Open Sans"/>
            <w:sz w:val="21"/>
            <w:szCs w:val="21"/>
          </w:rPr>
          <w:t xml:space="preserve">22/12/2021 : TVA - Paquet TVA sur le commerce électronique - </w:t>
        </w:r>
        <w:proofErr w:type="spellStart"/>
        <w:r w:rsidR="00D83A1C">
          <w:rPr>
            <w:rStyle w:val="Lienhypertexte"/>
            <w:rFonts w:ascii="Open Sans" w:hAnsi="Open Sans" w:cs="Open Sans"/>
            <w:sz w:val="21"/>
            <w:szCs w:val="21"/>
          </w:rPr>
          <w:t>Réfome</w:t>
        </w:r>
        <w:proofErr w:type="spellEnd"/>
        <w:r w:rsidR="00D83A1C">
          <w:rPr>
            <w:rStyle w:val="Lienhypertexte"/>
            <w:rFonts w:ascii="Open Sans" w:hAnsi="Open Sans" w:cs="Open Sans"/>
            <w:sz w:val="21"/>
            <w:szCs w:val="21"/>
          </w:rPr>
          <w:t xml:space="preserve"> des règles de TVA applicables aux opérations du commerce électronique (loi n° 2020-1721 du 29 décembre 2020 de finances pour 2021, art. 51 ; loi n° 2019-1479 du 28 décembre 2019 de finances pour 2020, art. 147) - Mise à jour suite à consultation publique</w:t>
        </w:r>
      </w:hyperlink>
    </w:p>
    <w:p w14:paraId="7F0C6866"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1" w:tooltip="22/12/2021 : CVAE - Valeur ajoutée - Déduction des redevances domaniales afférentes à des contrats de délégation de service public - Jurisprudence (CE, décisions du 24 février 2020, n°433881, n°433882 et n°433883)" w:history="1">
        <w:r w:rsidR="00D83A1C" w:rsidRPr="00953378">
          <w:rPr>
            <w:rStyle w:val="Lienhypertexte"/>
            <w:rFonts w:ascii="Open Sans" w:hAnsi="Open Sans" w:cs="Open Sans"/>
            <w:sz w:val="21"/>
            <w:szCs w:val="21"/>
            <w:highlight w:val="green"/>
          </w:rPr>
          <w:t>22/12/2021 : CVAE - Valeur ajoutée - Déduction des redevances domaniales afférentes à des contrats de délégation de service public - Jurisprudence (CE, décisions du 24 février 2020, n°433881, n°433882 et n°433883)</w:t>
        </w:r>
      </w:hyperlink>
    </w:p>
    <w:p w14:paraId="1A0E0F63"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2" w:tooltip="22/12/2021 : IF - Report de trois ans de l'entrée dans l'imposition à la cotisation foncière des entreprises des investissements fonciers nouveaux - Nouvelle définition de la notion d'extension d'établissement (loi n° 2020-1721 du 29 décembre 2020 de finances " w:history="1">
        <w:r w:rsidR="00D83A1C">
          <w:rPr>
            <w:rStyle w:val="Lienhypertexte"/>
            <w:rFonts w:ascii="Open Sans" w:hAnsi="Open Sans" w:cs="Open Sans"/>
            <w:sz w:val="21"/>
            <w:szCs w:val="21"/>
          </w:rPr>
          <w:t>22/12/2021 : IF - Report de trois ans de l'entrée dans l'imposition à la cotisation foncière des entreprises des investissements fonciers nouveaux - Nouvelle définition de la notion d'extension d'établissement (loi n° 2020-1721 du 29 décembre 2020 de finances pour 2021, article 120)</w:t>
        </w:r>
      </w:hyperlink>
    </w:p>
    <w:p w14:paraId="28710608"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3" w:tooltip="21/12/2021 : ENR - Mutations à titre gratuit - Exonération partielle en raison de la nature du bien transmis : transmission d'entreprises ayant une activité industrielle, commerciale, artisanale, agricole ou libérale - Précisions sur les assouplissements des c" w:history="1">
        <w:r w:rsidR="00D83A1C">
          <w:rPr>
            <w:rStyle w:val="Lienhypertexte"/>
            <w:rFonts w:ascii="Open Sans" w:hAnsi="Open Sans" w:cs="Open Sans"/>
            <w:sz w:val="21"/>
            <w:szCs w:val="21"/>
          </w:rPr>
          <w:t>21/12/2021 : ENR - Mutations à titre gratuit - Exonération partielle en raison de la nature du bien transmis : transmission d'entreprises ayant une activité industrielle, commerciale, artisanale, agricole ou libérale - Précisions sur les assouplissements des conditions prévues à l'article 787 B du CGI (loi n° 2018-1317 du 28 décembre 2018 de finances pour 2019, art. 40)</w:t>
        </w:r>
      </w:hyperlink>
    </w:p>
    <w:p w14:paraId="13013C2C"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4" w:tooltip="20/12/2021 : TCA - Taxe générale sur les activités polluantes - Actualisation des tarifs (entreprises - publication urgente)" w:history="1">
        <w:r w:rsidR="00D83A1C">
          <w:rPr>
            <w:rStyle w:val="Lienhypertexte"/>
            <w:rFonts w:ascii="Open Sans" w:hAnsi="Open Sans" w:cs="Open Sans"/>
            <w:sz w:val="21"/>
            <w:szCs w:val="21"/>
          </w:rPr>
          <w:t>20/12/2021 : TCA - Taxe générale sur les activités polluantes - Actualisation des tarifs (entreprises - publication urgente)</w:t>
        </w:r>
      </w:hyperlink>
    </w:p>
    <w:p w14:paraId="316E209A"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5" w:tooltip="20/12/2021 : IF - Taxe foncière sur les propriétés non bâties - Suppression de la majoration de plein droit de la valeur locative des terrains constructibles prévue à l’article 1396 du CGI (loi n° 2017-1775 du 28 décembre 2017 de finances rectificative pour 20" w:history="1">
        <w:r w:rsidR="00D83A1C">
          <w:rPr>
            <w:rStyle w:val="Lienhypertexte"/>
            <w:rFonts w:ascii="Open Sans" w:hAnsi="Open Sans" w:cs="Open Sans"/>
            <w:sz w:val="21"/>
            <w:szCs w:val="21"/>
          </w:rPr>
          <w:t>20/12/2021 : IF - Taxe foncière sur les propriétés non bâties - Suppression de la majoration de plein droit de la valeur locative des terrains constructibles prévue à l’article 1396 du CGI (loi n° 2017-1775 du 28 décembre 2017 de finances rectificative pour 2017, art. 46)</w:t>
        </w:r>
      </w:hyperlink>
    </w:p>
    <w:p w14:paraId="68E58BC2"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6" w:tooltip="20/12/2021 : IF - Abattements sur la base d'imposition des taxes foncières sur les propriétés bâties et non bâties des propriétés cédées par une personne publique aux occupants irréguliers à Mayotte (loi n° 2017-1775 du 28 décembre 2017 de finances rectificati" w:history="1">
        <w:r w:rsidR="00D83A1C">
          <w:rPr>
            <w:rStyle w:val="Lienhypertexte"/>
            <w:rFonts w:ascii="Open Sans" w:hAnsi="Open Sans" w:cs="Open Sans"/>
            <w:sz w:val="21"/>
            <w:szCs w:val="21"/>
          </w:rPr>
          <w:t>20/12/2021 : IF - Abattements sur la base d'imposition des taxes foncières sur les propriétés bâties et non bâties des propriétés cédées par une personne publique aux occupants irréguliers à Mayotte (loi n° 2017-1775 du 28 décembre 2017 de finances rectificative pour 2017, art. 64)</w:t>
        </w:r>
      </w:hyperlink>
    </w:p>
    <w:p w14:paraId="492F8D2F"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7" w:tooltip="20/12/2021 : IF - Taxe foncière sur les propriétés bâties - Conséquences du transfert de la part départementale aux communes sur la durée et la portée de l'exonération temporaire prévue à l'article 1383 du CGI (loi n° 2019-1479 du 28 décembre 2019 de la loi de" w:history="1">
        <w:r w:rsidR="00D83A1C" w:rsidRPr="00EC4A90">
          <w:rPr>
            <w:rStyle w:val="Lienhypertexte"/>
            <w:rFonts w:ascii="Open Sans" w:hAnsi="Open Sans" w:cs="Open Sans"/>
            <w:sz w:val="21"/>
            <w:szCs w:val="21"/>
            <w:highlight w:val="green"/>
          </w:rPr>
          <w:t>20/12/2021 : IF - Taxe foncière sur les propriétés bâties - Conséquences du transfert de la part départementale aux communes sur la durée et la portée de l'exonération temporaire prévue à l'article 1383 du CGI (loi n° 2019-1479 du 28 décembre 2019 de la loi de finances pour 2020, art. 16, II-C-2°)</w:t>
        </w:r>
      </w:hyperlink>
    </w:p>
    <w:p w14:paraId="404819A5"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8" w:tooltip="20/12/2021 : IF - Taxe d’enlèvement des ordures ménagères (TEOM) - Mise à jour de la doctrine des évolutions législatives intervenues depuis 2015 (loi n° 2015-1786 du 29 décembre 2015 de finances rectificative pour 2015, art. 53 et 57 ; ordonnance n° 2015-1630" w:history="1">
        <w:r w:rsidR="00D83A1C" w:rsidRPr="00084558">
          <w:rPr>
            <w:rStyle w:val="Lienhypertexte"/>
            <w:rFonts w:ascii="Open Sans" w:hAnsi="Open Sans" w:cs="Open Sans"/>
            <w:sz w:val="21"/>
            <w:szCs w:val="21"/>
            <w:highlight w:val="green"/>
          </w:rPr>
          <w:t xml:space="preserve">20/12/2021 : IF - Taxe d’enlèvement des ordures ménagères (TEOM) - Mise à jour de la doctrine des évolutions législatives intervenues depuis 2015 (loi n° 2015-1786 du 29 décembre 2015 de finances rectificative pour 2015, art. 53 et 57 ; ordonnance n° 2015-1630 du 10 décembre 2015, art. 1er à 3 ; loi n° 2016-1918 du 29 décembre 2016 de finances rectificative pour 2016, art. 77. ; loi n° 2017-1775 du 28 décembre 2017 de finances </w:t>
        </w:r>
        <w:r w:rsidR="00D83A1C" w:rsidRPr="00084558">
          <w:rPr>
            <w:rStyle w:val="Lienhypertexte"/>
            <w:rFonts w:ascii="Open Sans" w:hAnsi="Open Sans" w:cs="Open Sans"/>
            <w:sz w:val="21"/>
            <w:szCs w:val="21"/>
            <w:highlight w:val="green"/>
          </w:rPr>
          <w:lastRenderedPageBreak/>
          <w:t>rectificative pour 2017, art. 33 ; loi n° 2018-1837 du 28 décembre 2018 de finances pour 2019, art. 23 ; loi n° 2020-1721 du 29 décembre 2020 de finances pour 2021, art. 135 et 218)</w:t>
        </w:r>
      </w:hyperlink>
    </w:p>
    <w:p w14:paraId="290C930E"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29" w:tooltip="20/12/2021 : Organismes de gestion agréés - Précisions relatives à l'activité des OGA et des professionnels de l'expertise comptable, à leurs moyens financiers, et à la périodicité du contrôle qualité (décret n° 2021-1303 du 7 octobre 2021 relatif aux services" w:history="1">
        <w:r w:rsidR="00D83A1C" w:rsidRPr="00084558">
          <w:rPr>
            <w:rStyle w:val="Lienhypertexte"/>
            <w:rFonts w:ascii="Open Sans" w:hAnsi="Open Sans" w:cs="Open Sans"/>
            <w:sz w:val="21"/>
            <w:szCs w:val="21"/>
            <w:highlight w:val="green"/>
          </w:rPr>
          <w:t>20/12/2021 : Organismes de gestion agréés - Précisions relatives à l'activité des OGA et des professionnels de l'expertise comptable, à leurs moyens financiers, et à la périodicité du contrôle qualité (décret n° 2021-1303 du 7 octobre 2021 relatif aux services fournis par les centres de gestion et associations agréés aux entreprises et professionnels non-adhérents et adhérents, décret n° 2021-25 du 13 janvier 2021 portant création de l'examen de conformité fiscale (entreprises - publication urgente)</w:t>
        </w:r>
      </w:hyperlink>
    </w:p>
    <w:p w14:paraId="627237D5"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0" w:tooltip="15/12/2021 : IS - Mesures de lutte contre les dispositifs hybrides issus de l'interaction des systèmes d'imposition des sociétés des Etats membres de l'Union européenne, entre eux ou vis-à-vis d'Etats ou de territoires tiers (loi n° 2019-1479 du 28 décembre 20" w:history="1">
        <w:r w:rsidR="00D83A1C">
          <w:rPr>
            <w:rStyle w:val="Lienhypertexte"/>
            <w:rFonts w:ascii="Open Sans" w:hAnsi="Open Sans" w:cs="Open Sans"/>
            <w:sz w:val="21"/>
            <w:szCs w:val="21"/>
          </w:rPr>
          <w:t>15/12/2021 : IS - Mesures de lutte contre les dispositifs hybrides issus de l'interaction des systèmes d'imposition des sociétés des Etats membres de l'Union européenne, entre eux ou vis-à-vis d'Etats ou de territoires tiers (loi n° 2019-1479 du 28 décembre 2019 de finances pour 2020, art. 45)</w:t>
        </w:r>
      </w:hyperlink>
    </w:p>
    <w:p w14:paraId="52D4C59D"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1" w:tooltip="15/12/2021 : IS - Déduction fiscale au titre des investissements en outre-mer - Non-imposition des indemnités versées aux investisseurs en exécution d’un contrat de garantie fiscale - Rescrit" w:history="1">
        <w:r w:rsidR="00D83A1C">
          <w:rPr>
            <w:rStyle w:val="Lienhypertexte"/>
            <w:rFonts w:ascii="Open Sans" w:hAnsi="Open Sans" w:cs="Open Sans"/>
            <w:sz w:val="21"/>
            <w:szCs w:val="21"/>
          </w:rPr>
          <w:t>15/12/2021 : IS - Déduction fiscale au titre des investissements en outre-mer - Non-imposition des indemnités versées aux investisseurs en exécution d’un contrat de garantie fiscale - Rescrit</w:t>
        </w:r>
      </w:hyperlink>
    </w:p>
    <w:p w14:paraId="47ADECB4"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2" w:tooltip="15/12/2021 : TCA - Mise à jour du barème des contributions sur les boissons non alcooliques" w:history="1">
        <w:r w:rsidR="00D83A1C">
          <w:rPr>
            <w:rStyle w:val="Lienhypertexte"/>
            <w:rFonts w:ascii="Open Sans" w:hAnsi="Open Sans" w:cs="Open Sans"/>
            <w:sz w:val="21"/>
            <w:szCs w:val="21"/>
          </w:rPr>
          <w:t>15/12/2021 : TCA - Mise à jour du barème des contributions sur les boissons non alcooliques</w:t>
        </w:r>
      </w:hyperlink>
    </w:p>
    <w:p w14:paraId="765E98F8"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3" w:tooltip="15/12/2021 : REC - CF - Précisions doctrinales sur le régime des pénalités encourues susceptibles de remise en matière de procédure collective (Conseil d'Etat, 30 septembre 2019, n° 415333)" w:history="1">
        <w:r w:rsidR="00D83A1C">
          <w:rPr>
            <w:rStyle w:val="Lienhypertexte"/>
            <w:rFonts w:ascii="Open Sans" w:hAnsi="Open Sans" w:cs="Open Sans"/>
            <w:sz w:val="21"/>
            <w:szCs w:val="21"/>
          </w:rPr>
          <w:t>15/12/2021 : REC - CF - Précisions doctrinales sur le régime des pénalités encourues susceptibles de remise en matière de procédure collective (Conseil d'Etat, 30 septembre 2019, n° 415333)</w:t>
        </w:r>
      </w:hyperlink>
    </w:p>
    <w:p w14:paraId="261F4B4C"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4" w:tooltip="15/12/2021 : CF - Précisions doctrinales relatives aux modalités de mise en œuvre de l'amende prévue en cas de défaut de présentation de la comptabilité par la remise d'une copie des fichiers des écritures comptables (CGI, art. 1729 D, I)" w:history="1">
        <w:r w:rsidR="00D83A1C">
          <w:rPr>
            <w:rStyle w:val="Lienhypertexte"/>
            <w:rFonts w:ascii="Open Sans" w:hAnsi="Open Sans" w:cs="Open Sans"/>
            <w:sz w:val="21"/>
            <w:szCs w:val="21"/>
          </w:rPr>
          <w:t>15/12/2021 : CF - Précisions doctrinales relatives aux modalités de mise en œuvre de l'amende prévue en cas de défaut de présentation de la comptabilité par la remise d'une copie des fichiers des écritures comptables (CGI, art. 1729 D, I)</w:t>
        </w:r>
      </w:hyperlink>
    </w:p>
    <w:p w14:paraId="199856FD"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5" w:tooltip="15/12/2021 : INT - Précisions relatives aux déclarations rectificatives déposées par les institutions financières au titre des échanges de renseignements sur les comptes financiers (LPF, art. L. 102 AG)" w:history="1">
        <w:r w:rsidR="00D83A1C">
          <w:rPr>
            <w:rStyle w:val="Lienhypertexte"/>
            <w:rFonts w:ascii="Open Sans" w:hAnsi="Open Sans" w:cs="Open Sans"/>
            <w:sz w:val="21"/>
            <w:szCs w:val="21"/>
          </w:rPr>
          <w:t>15/12/2021 : INT - Précisions relatives aux déclarations rectificatives déposées par les institutions financières au titre des échanges de renseignements sur les comptes financiers (LPF, art. L. 102 AG)</w:t>
        </w:r>
      </w:hyperlink>
    </w:p>
    <w:p w14:paraId="044DDA1E"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6" w:tooltip="08/12/2021 : BIC - Retrait des commentaires doctrinaux obsolètes relatifs au crédit d'impôt au profit des débitants de tabac (CGI, art. 244 quater R)" w:history="1">
        <w:r w:rsidR="00D83A1C">
          <w:rPr>
            <w:rStyle w:val="Lienhypertexte"/>
            <w:rFonts w:ascii="Open Sans" w:hAnsi="Open Sans" w:cs="Open Sans"/>
            <w:sz w:val="21"/>
            <w:szCs w:val="21"/>
          </w:rPr>
          <w:t>08/12/2021 : BIC - Retrait des commentaires doctrinaux obsolètes relatifs au crédit d'impôt au profit des débitants de tabac (CGI, art. 244 quater R)</w:t>
        </w:r>
      </w:hyperlink>
    </w:p>
    <w:p w14:paraId="39B558D6"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7" w:tooltip="01/12/2021 : TVA - Régime des ventes à distance - Régularisation d’erreurs commises par les opérateurs français - Rescrit" w:history="1">
        <w:r w:rsidR="00D83A1C">
          <w:rPr>
            <w:rStyle w:val="Lienhypertexte"/>
            <w:rFonts w:ascii="Open Sans" w:hAnsi="Open Sans" w:cs="Open Sans"/>
            <w:sz w:val="21"/>
            <w:szCs w:val="21"/>
          </w:rPr>
          <w:t>01/12/2021 : TVA - Régime des ventes à distance - Régularisation d’erreurs commises par les opérateurs français - Rescrit</w:t>
        </w:r>
      </w:hyperlink>
    </w:p>
    <w:p w14:paraId="7D1DDC76"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8" w:tooltip="01/12/2021 : BIC - IF - CVAE - Extinction des dispositifs d'éxonérations fiscales en faveur des entreprises implantées dans les zones de recherche et de développement des pôles de compétitivité (loi n° 2013-1279 du 29 décembre 2013 de finances rectificative po" w:history="1">
        <w:r w:rsidR="00D83A1C">
          <w:rPr>
            <w:rStyle w:val="Lienhypertexte"/>
            <w:rFonts w:ascii="Open Sans" w:hAnsi="Open Sans" w:cs="Open Sans"/>
            <w:sz w:val="21"/>
            <w:szCs w:val="21"/>
          </w:rPr>
          <w:t>01/12/2021 : BIC - IF - CVAE - Extinction des dispositifs d'</w:t>
        </w:r>
        <w:proofErr w:type="spellStart"/>
        <w:r w:rsidR="00D83A1C">
          <w:rPr>
            <w:rStyle w:val="Lienhypertexte"/>
            <w:rFonts w:ascii="Open Sans" w:hAnsi="Open Sans" w:cs="Open Sans"/>
            <w:sz w:val="21"/>
            <w:szCs w:val="21"/>
          </w:rPr>
          <w:t>éxonérations</w:t>
        </w:r>
        <w:proofErr w:type="spellEnd"/>
        <w:r w:rsidR="00D83A1C">
          <w:rPr>
            <w:rStyle w:val="Lienhypertexte"/>
            <w:rFonts w:ascii="Open Sans" w:hAnsi="Open Sans" w:cs="Open Sans"/>
            <w:sz w:val="21"/>
            <w:szCs w:val="21"/>
          </w:rPr>
          <w:t xml:space="preserve"> fiscales en faveur des entreprises implantées dans les zones de recherche et de développement des pôles de compétitivité (loi n° 2013-1279 du 29 décembre 2013 de finances rectificative pour 2013, art. 29)</w:t>
        </w:r>
      </w:hyperlink>
    </w:p>
    <w:p w14:paraId="7D9F8915" w14:textId="77777777" w:rsidR="00D83A1C" w:rsidRDefault="00C02055" w:rsidP="00D83A1C">
      <w:pPr>
        <w:pStyle w:val="NormalWeb"/>
        <w:shd w:val="clear" w:color="auto" w:fill="FFFFFF"/>
        <w:spacing w:before="0" w:after="150"/>
        <w:jc w:val="both"/>
        <w:rPr>
          <w:rFonts w:ascii="Open Sans" w:hAnsi="Open Sans" w:cs="Open Sans"/>
          <w:color w:val="333333"/>
          <w:sz w:val="21"/>
          <w:szCs w:val="21"/>
        </w:rPr>
      </w:pPr>
      <w:hyperlink r:id="rId39" w:tooltip="01/12/2021 : IF - Extinction du dispositif d'exonération temporaire de cotisation foncière des entreprises (CFE) pour les petites et moyennes entreprises investissant en Corse (CGI, art. 1466 C)" w:history="1">
        <w:r w:rsidR="00D83A1C">
          <w:rPr>
            <w:rStyle w:val="Lienhypertexte"/>
            <w:rFonts w:ascii="Open Sans" w:hAnsi="Open Sans" w:cs="Open Sans"/>
            <w:sz w:val="21"/>
            <w:szCs w:val="21"/>
          </w:rPr>
          <w:t>01/12/2021 : IF - Extinction du dispositif d'exonération temporaire de cotisation foncière des entreprises (CFE) pour les petites et moyennes entreprises investissant en Corse (CGI, art. 1466 C)</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40"/>
      <w:headerReference w:type="first" r:id="rId41"/>
      <w:footerReference w:type="first" r:id="rId42"/>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449AB" w14:textId="77777777" w:rsidR="00C02055" w:rsidRDefault="00C02055">
      <w:r>
        <w:separator/>
      </w:r>
    </w:p>
  </w:endnote>
  <w:endnote w:type="continuationSeparator" w:id="0">
    <w:p w14:paraId="3558FE3D" w14:textId="77777777" w:rsidR="00C02055" w:rsidRDefault="00C0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EB406839-EBD7-45D6-A9F4-9A455A72246B}"/>
    <w:embedBold r:id="rId2" w:fontKey="{0CDA507A-64D9-4814-A7F0-95F7358600B1}"/>
    <w:embedBoldItalic r:id="rId3" w:fontKey="{0EB1494C-AA08-4BA8-8589-F40D79E0D305}"/>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6D8E2C8F-DDF4-4BEC-9340-31149C2BF72B}"/>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9871D896-9DB6-4EFA-92AF-CF3DB3BCBFDD}"/>
  </w:font>
  <w:font w:name="Open Sans">
    <w:panose1 w:val="020B0606030504020204"/>
    <w:charset w:val="00"/>
    <w:family w:val="swiss"/>
    <w:pitch w:val="variable"/>
    <w:sig w:usb0="E00002EF" w:usb1="4000205B" w:usb2="00000028" w:usb3="00000000" w:csb0="0000019F" w:csb1="00000000"/>
    <w:embedRegular r:id="rId6" w:fontKey="{E675E971-7BDC-4F67-A141-00FFFF239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07E5" w14:textId="77777777" w:rsidR="00C02055" w:rsidRDefault="00C02055">
      <w:r>
        <w:separator/>
      </w:r>
    </w:p>
  </w:footnote>
  <w:footnote w:type="continuationSeparator" w:id="0">
    <w:p w14:paraId="2451B5AA" w14:textId="77777777" w:rsidR="00C02055" w:rsidRDefault="00C0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2D8C5C2E"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Pr>
              <w:noProof/>
              <w:sz w:val="20"/>
            </w:rPr>
            <w:t>Comptes-La revue -2021-</w:t>
          </w:r>
          <w:r w:rsidR="0048009B">
            <w:rPr>
              <w:noProof/>
              <w:sz w:val="20"/>
            </w:rPr>
            <w:t>1</w:t>
          </w:r>
          <w:r w:rsidR="00D83A1C">
            <w:rPr>
              <w:noProof/>
              <w:sz w:val="20"/>
            </w:rPr>
            <w:t>2</w:t>
          </w:r>
          <w:r>
            <w:rPr>
              <w:sz w:val="20"/>
            </w:rPr>
            <w:fldChar w:fldCharType="end"/>
          </w:r>
        </w:p>
        <w:p w14:paraId="6D4A75FB" w14:textId="1032E004" w:rsidR="00E72D0D" w:rsidRPr="0048009B" w:rsidRDefault="00E72D0D" w:rsidP="00E911FE">
          <w:pPr>
            <w:pStyle w:val="En-tte"/>
            <w:tabs>
              <w:tab w:val="clear" w:pos="4536"/>
            </w:tabs>
            <w:spacing w:before="0" w:after="0" w:line="240" w:lineRule="auto"/>
            <w:rPr>
              <w:sz w:val="20"/>
            </w:rPr>
          </w:pPr>
          <w:r w:rsidRPr="00195236">
            <w:rPr>
              <w:sz w:val="20"/>
            </w:rPr>
            <w:t xml:space="preserve">Version </w:t>
          </w:r>
          <w:r w:rsidRPr="00D12904">
            <w:rPr>
              <w:sz w:val="20"/>
            </w:rPr>
            <w:t xml:space="preserve">du </w:t>
          </w:r>
          <w:r w:rsidR="008A3BD3">
            <w:rPr>
              <w:sz w:val="20"/>
            </w:rPr>
            <w:t>31</w:t>
          </w:r>
          <w:r w:rsidR="0048009B">
            <w:rPr>
              <w:sz w:val="20"/>
            </w:rPr>
            <w:t xml:space="preserve"> </w:t>
          </w:r>
          <w:r w:rsidR="00D83A1C">
            <w:rPr>
              <w:sz w:val="20"/>
            </w:rPr>
            <w:t>décembre</w:t>
          </w:r>
          <w:r w:rsidR="0048009B">
            <w:rPr>
              <w:sz w:val="20"/>
            </w:rPr>
            <w:t xml:space="preserv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6" type="#_x0000_t75" style="width:3in;height:3in" o:bullet="t"/>
    </w:pict>
  </w:numPicBullet>
  <w:numPicBullet w:numPicBulletId="1">
    <w:pict>
      <v:shape id="_x0000_i1547" type="#_x0000_t75" style="width:3in;height:3in" o:bullet="t"/>
    </w:pict>
  </w:numPicBullet>
  <w:numPicBullet w:numPicBulletId="2">
    <w:pict>
      <v:shape id="_x0000_i1548" type="#_x0000_t75" style="width:3in;height:3in" o:bullet="t"/>
    </w:pict>
  </w:numPicBullet>
  <w:numPicBullet w:numPicBulletId="3">
    <w:pict>
      <v:shape id="_x0000_i1549" type="#_x0000_t75" style="width:3in;height:3in" o:bullet="t"/>
    </w:pict>
  </w:numPicBullet>
  <w:numPicBullet w:numPicBulletId="4">
    <w:pict>
      <v:shape id="_x0000_i1550" type="#_x0000_t75" style="width:3in;height:3in" o:bullet="t"/>
    </w:pict>
  </w:numPicBullet>
  <w:numPicBullet w:numPicBulletId="5">
    <w:pict>
      <v:shape id="_x0000_i1551" type="#_x0000_t75" style="width:3in;height:3in" o:bullet="t"/>
    </w:pict>
  </w:numPicBullet>
  <w:numPicBullet w:numPicBulletId="6">
    <w:pict>
      <v:shape id="_x0000_i1552" type="#_x0000_t75" style="width:3in;height:3in" o:bullet="t"/>
    </w:pict>
  </w:numPicBullet>
  <w:numPicBullet w:numPicBulletId="7">
    <w:pict>
      <v:shape id="_x0000_i1553" type="#_x0000_t75" style="width:3in;height:3in" o:bullet="t"/>
    </w:pict>
  </w:numPicBullet>
  <w:numPicBullet w:numPicBulletId="8">
    <w:pict>
      <v:shape id="_x0000_i1554" type="#_x0000_t75" style="width:3in;height:3in" o:bullet="t"/>
    </w:pict>
  </w:numPicBullet>
  <w:numPicBullet w:numPicBulletId="9">
    <w:pict>
      <v:shape id="_x0000_i1555" type="#_x0000_t75" style="width:3in;height:3in" o:bullet="t"/>
    </w:pict>
  </w:numPicBullet>
  <w:numPicBullet w:numPicBulletId="10">
    <w:pict>
      <v:shape id="_x0000_i1556" type="#_x0000_t75" style="width:3in;height:3in" o:bullet="t"/>
    </w:pict>
  </w:numPicBullet>
  <w:numPicBullet w:numPicBulletId="11">
    <w:pict>
      <v:shape id="_x0000_i1557" type="#_x0000_t75" style="width:3in;height:3in" o:bullet="t"/>
    </w:pict>
  </w:numPicBullet>
  <w:numPicBullet w:numPicBulletId="12">
    <w:pict>
      <v:shape id="_x0000_i1558" type="#_x0000_t75" style="width:3in;height:3in" o:bullet="t"/>
    </w:pict>
  </w:numPicBullet>
  <w:numPicBullet w:numPicBulletId="13">
    <w:pict>
      <v:shape id="_x0000_i1559" type="#_x0000_t75" style="width:3in;height:3in" o:bullet="t"/>
    </w:pict>
  </w:numPicBullet>
  <w:numPicBullet w:numPicBulletId="14">
    <w:pict>
      <v:shape id="_x0000_i1560" type="#_x0000_t75" style="width:3in;height:3in" o:bullet="t"/>
    </w:pict>
  </w:numPicBullet>
  <w:numPicBullet w:numPicBulletId="15">
    <w:pict>
      <v:shape id="_x0000_i1561" type="#_x0000_t75" style="width:3in;height:3in" o:bullet="t"/>
    </w:pict>
  </w:numPicBullet>
  <w:numPicBullet w:numPicBulletId="16">
    <w:pict>
      <v:shape id="_x0000_i1562" type="#_x0000_t75" style="width:3in;height:3in" o:bullet="t"/>
    </w:pict>
  </w:numPicBullet>
  <w:numPicBullet w:numPicBulletId="17">
    <w:pict>
      <v:shape id="_x0000_i1563" type="#_x0000_t75" style="width:3in;height:3in" o:bullet="t"/>
    </w:pict>
  </w:numPicBullet>
  <w:numPicBullet w:numPicBulletId="18">
    <w:pict>
      <v:shape id="_x0000_i1564" type="#_x0000_t75" style="width:3in;height:3in" o:bullet="t"/>
    </w:pict>
  </w:numPicBullet>
  <w:numPicBullet w:numPicBulletId="19">
    <w:pict>
      <v:shape id="_x0000_i156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1"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2"/>
  </w:num>
  <w:num w:numId="5">
    <w:abstractNumId w:val="26"/>
  </w:num>
  <w:num w:numId="6">
    <w:abstractNumId w:val="21"/>
  </w:num>
  <w:num w:numId="7">
    <w:abstractNumId w:val="7"/>
  </w:num>
  <w:num w:numId="8">
    <w:abstractNumId w:val="15"/>
  </w:num>
  <w:num w:numId="9">
    <w:abstractNumId w:val="20"/>
  </w:num>
  <w:num w:numId="10">
    <w:abstractNumId w:val="16"/>
  </w:num>
  <w:num w:numId="11">
    <w:abstractNumId w:val="13"/>
  </w:num>
  <w:num w:numId="12">
    <w:abstractNumId w:val="14"/>
  </w:num>
  <w:num w:numId="13">
    <w:abstractNumId w:val="33"/>
  </w:num>
  <w:num w:numId="14">
    <w:abstractNumId w:val="24"/>
  </w:num>
  <w:num w:numId="15">
    <w:abstractNumId w:val="27"/>
  </w:num>
  <w:num w:numId="16">
    <w:abstractNumId w:val="2"/>
  </w:num>
  <w:num w:numId="17">
    <w:abstractNumId w:val="28"/>
  </w:num>
  <w:num w:numId="18">
    <w:abstractNumId w:val="18"/>
  </w:num>
  <w:num w:numId="19">
    <w:abstractNumId w:val="23"/>
  </w:num>
  <w:num w:numId="20">
    <w:abstractNumId w:val="25"/>
  </w:num>
  <w:num w:numId="21">
    <w:abstractNumId w:val="29"/>
  </w:num>
  <w:num w:numId="22">
    <w:abstractNumId w:val="31"/>
  </w:num>
  <w:num w:numId="23">
    <w:abstractNumId w:val="4"/>
  </w:num>
  <w:num w:numId="24">
    <w:abstractNumId w:val="17"/>
  </w:num>
  <w:num w:numId="25">
    <w:abstractNumId w:val="8"/>
  </w:num>
  <w:num w:numId="26">
    <w:abstractNumId w:val="10"/>
  </w:num>
  <w:num w:numId="27">
    <w:abstractNumId w:val="19"/>
  </w:num>
  <w:num w:numId="28">
    <w:abstractNumId w:val="9"/>
  </w:num>
  <w:num w:numId="29">
    <w:abstractNumId w:val="3"/>
  </w:num>
  <w:num w:numId="30">
    <w:abstractNumId w:val="11"/>
  </w:num>
  <w:num w:numId="31">
    <w:abstractNumId w:val="34"/>
  </w:num>
  <w:num w:numId="32">
    <w:abstractNumId w:val="30"/>
  </w:num>
  <w:num w:numId="33">
    <w:abstractNumId w:val="1"/>
  </w:num>
  <w:num w:numId="34">
    <w:abstractNumId w:val="22"/>
    <w:lvlOverride w:ilvl="0">
      <w:startOverride w:val="17"/>
    </w:lvlOverride>
  </w:num>
  <w:num w:numId="35">
    <w:abstractNumId w:val="22"/>
    <w:lvlOverride w:ilvl="0">
      <w:startOverride w:val="18"/>
    </w:lvlOverride>
  </w:num>
  <w:num w:numId="36">
    <w:abstractNumId w:val="22"/>
    <w:lvlOverride w:ilvl="0">
      <w:startOverride w:val="19"/>
    </w:lvlOverride>
  </w:num>
  <w:num w:numId="37">
    <w:abstractNumId w:val="22"/>
    <w:lvlOverride w:ilvl="0">
      <w:startOverride w:val="20"/>
    </w:lvlOverride>
  </w:num>
  <w:num w:numId="38">
    <w:abstractNumId w:val="22"/>
    <w:lvlOverride w:ilvl="0">
      <w:startOverride w:val="21"/>
    </w:lvlOverride>
  </w:num>
  <w:num w:numId="39">
    <w:abstractNumId w:val="22"/>
    <w:lvlOverride w:ilvl="0">
      <w:startOverride w:val="22"/>
    </w:lvlOverride>
  </w:num>
  <w:num w:numId="40">
    <w:abstractNumId w:val="22"/>
    <w:lvlOverride w:ilvl="0">
      <w:startOverride w:val="23"/>
    </w:lvlOverride>
  </w:num>
  <w:num w:numId="4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715"/>
    <w:rsid w:val="00015C95"/>
    <w:rsid w:val="000163EC"/>
    <w:rsid w:val="00016A1A"/>
    <w:rsid w:val="00017A6A"/>
    <w:rsid w:val="00020F5E"/>
    <w:rsid w:val="0002163A"/>
    <w:rsid w:val="00021BFC"/>
    <w:rsid w:val="000222C8"/>
    <w:rsid w:val="00022CC5"/>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5B52"/>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67E8F"/>
    <w:rsid w:val="000717C8"/>
    <w:rsid w:val="00072E8A"/>
    <w:rsid w:val="00073476"/>
    <w:rsid w:val="000739C9"/>
    <w:rsid w:val="00073CD6"/>
    <w:rsid w:val="000745B8"/>
    <w:rsid w:val="00074933"/>
    <w:rsid w:val="00074A38"/>
    <w:rsid w:val="000758F5"/>
    <w:rsid w:val="00076849"/>
    <w:rsid w:val="00076EFC"/>
    <w:rsid w:val="00080DE8"/>
    <w:rsid w:val="00081001"/>
    <w:rsid w:val="00084540"/>
    <w:rsid w:val="00084558"/>
    <w:rsid w:val="00084B1E"/>
    <w:rsid w:val="00090564"/>
    <w:rsid w:val="00090E39"/>
    <w:rsid w:val="00091823"/>
    <w:rsid w:val="00091C56"/>
    <w:rsid w:val="000933BB"/>
    <w:rsid w:val="0009376D"/>
    <w:rsid w:val="00094A9B"/>
    <w:rsid w:val="00097B99"/>
    <w:rsid w:val="000A06CA"/>
    <w:rsid w:val="000A2611"/>
    <w:rsid w:val="000A2638"/>
    <w:rsid w:val="000A4E49"/>
    <w:rsid w:val="000A508A"/>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131"/>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5D0A"/>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BC4"/>
    <w:rsid w:val="002001A9"/>
    <w:rsid w:val="00200679"/>
    <w:rsid w:val="00201E77"/>
    <w:rsid w:val="00202AC9"/>
    <w:rsid w:val="002035CE"/>
    <w:rsid w:val="0020427F"/>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26E"/>
    <w:rsid w:val="00226C9C"/>
    <w:rsid w:val="00227012"/>
    <w:rsid w:val="00227B8C"/>
    <w:rsid w:val="00227DDE"/>
    <w:rsid w:val="00231BDF"/>
    <w:rsid w:val="00233795"/>
    <w:rsid w:val="00233C80"/>
    <w:rsid w:val="002343AA"/>
    <w:rsid w:val="00234934"/>
    <w:rsid w:val="00235330"/>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26DA"/>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1995"/>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087"/>
    <w:rsid w:val="00394E62"/>
    <w:rsid w:val="003952A4"/>
    <w:rsid w:val="0039714F"/>
    <w:rsid w:val="0039753C"/>
    <w:rsid w:val="003977E9"/>
    <w:rsid w:val="003A02C8"/>
    <w:rsid w:val="003A0560"/>
    <w:rsid w:val="003A0B86"/>
    <w:rsid w:val="003A1B8D"/>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A3"/>
    <w:rsid w:val="003B70C5"/>
    <w:rsid w:val="003B715D"/>
    <w:rsid w:val="003C0356"/>
    <w:rsid w:val="003C0719"/>
    <w:rsid w:val="003C0A8D"/>
    <w:rsid w:val="003C2F94"/>
    <w:rsid w:val="003C300E"/>
    <w:rsid w:val="003C3102"/>
    <w:rsid w:val="003C380A"/>
    <w:rsid w:val="003C4CF0"/>
    <w:rsid w:val="003C5765"/>
    <w:rsid w:val="003C576E"/>
    <w:rsid w:val="003C6E07"/>
    <w:rsid w:val="003D2EBE"/>
    <w:rsid w:val="003D3492"/>
    <w:rsid w:val="003D36E0"/>
    <w:rsid w:val="003D50FE"/>
    <w:rsid w:val="003D66A1"/>
    <w:rsid w:val="003D67EC"/>
    <w:rsid w:val="003D703C"/>
    <w:rsid w:val="003E0649"/>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4D35"/>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2481"/>
    <w:rsid w:val="004324DE"/>
    <w:rsid w:val="00432754"/>
    <w:rsid w:val="00432C69"/>
    <w:rsid w:val="00432F68"/>
    <w:rsid w:val="004330DD"/>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3F70"/>
    <w:rsid w:val="004749CE"/>
    <w:rsid w:val="00474A3B"/>
    <w:rsid w:val="004757BA"/>
    <w:rsid w:val="004763DE"/>
    <w:rsid w:val="0047692A"/>
    <w:rsid w:val="00477C56"/>
    <w:rsid w:val="0048009B"/>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7FC"/>
    <w:rsid w:val="004978D1"/>
    <w:rsid w:val="00497923"/>
    <w:rsid w:val="00497E8E"/>
    <w:rsid w:val="004A15E8"/>
    <w:rsid w:val="004A1AC2"/>
    <w:rsid w:val="004A3CE9"/>
    <w:rsid w:val="004A4451"/>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4F7F"/>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5099"/>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426"/>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6F9"/>
    <w:rsid w:val="006157FE"/>
    <w:rsid w:val="0062013B"/>
    <w:rsid w:val="006218A1"/>
    <w:rsid w:val="00621E61"/>
    <w:rsid w:val="0062257E"/>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A5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49E"/>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01F"/>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4FCF"/>
    <w:rsid w:val="007A52CA"/>
    <w:rsid w:val="007A5811"/>
    <w:rsid w:val="007A68BF"/>
    <w:rsid w:val="007B0938"/>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82D"/>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38F"/>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22C9"/>
    <w:rsid w:val="008A3559"/>
    <w:rsid w:val="008A3ACD"/>
    <w:rsid w:val="008A3BD3"/>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149A"/>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78"/>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17C32"/>
    <w:rsid w:val="00A2041D"/>
    <w:rsid w:val="00A20ED3"/>
    <w:rsid w:val="00A212EE"/>
    <w:rsid w:val="00A2187C"/>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819"/>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DBC"/>
    <w:rsid w:val="00B56EEC"/>
    <w:rsid w:val="00B57A6F"/>
    <w:rsid w:val="00B57ABA"/>
    <w:rsid w:val="00B57E19"/>
    <w:rsid w:val="00B6031B"/>
    <w:rsid w:val="00B61CCB"/>
    <w:rsid w:val="00B6244D"/>
    <w:rsid w:val="00B62E57"/>
    <w:rsid w:val="00B6419C"/>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815"/>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3A5E"/>
    <w:rsid w:val="00BB589A"/>
    <w:rsid w:val="00BB5A98"/>
    <w:rsid w:val="00BB6F75"/>
    <w:rsid w:val="00BB7CFE"/>
    <w:rsid w:val="00BC0BEB"/>
    <w:rsid w:val="00BC12E2"/>
    <w:rsid w:val="00BC29EE"/>
    <w:rsid w:val="00BC38F3"/>
    <w:rsid w:val="00BC58F2"/>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0FF9"/>
    <w:rsid w:val="00BF17DA"/>
    <w:rsid w:val="00BF25B6"/>
    <w:rsid w:val="00BF3932"/>
    <w:rsid w:val="00BF4C16"/>
    <w:rsid w:val="00BF559E"/>
    <w:rsid w:val="00BF7355"/>
    <w:rsid w:val="00C000E0"/>
    <w:rsid w:val="00C02055"/>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6BCE"/>
    <w:rsid w:val="00C275DB"/>
    <w:rsid w:val="00C307AA"/>
    <w:rsid w:val="00C318E6"/>
    <w:rsid w:val="00C33170"/>
    <w:rsid w:val="00C33553"/>
    <w:rsid w:val="00C33D97"/>
    <w:rsid w:val="00C34445"/>
    <w:rsid w:val="00C34B2A"/>
    <w:rsid w:val="00C34D3D"/>
    <w:rsid w:val="00C34E53"/>
    <w:rsid w:val="00C351A6"/>
    <w:rsid w:val="00C3544D"/>
    <w:rsid w:val="00C355A4"/>
    <w:rsid w:val="00C35F18"/>
    <w:rsid w:val="00C372A5"/>
    <w:rsid w:val="00C40498"/>
    <w:rsid w:val="00C41A76"/>
    <w:rsid w:val="00C42C88"/>
    <w:rsid w:val="00C42CCE"/>
    <w:rsid w:val="00C43180"/>
    <w:rsid w:val="00C449CD"/>
    <w:rsid w:val="00C44ADF"/>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1844"/>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539F"/>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802"/>
    <w:rsid w:val="00D04A09"/>
    <w:rsid w:val="00D05720"/>
    <w:rsid w:val="00D05BDF"/>
    <w:rsid w:val="00D067F2"/>
    <w:rsid w:val="00D07ABB"/>
    <w:rsid w:val="00D12904"/>
    <w:rsid w:val="00D155D9"/>
    <w:rsid w:val="00D1561B"/>
    <w:rsid w:val="00D17EE5"/>
    <w:rsid w:val="00D212B0"/>
    <w:rsid w:val="00D21D4A"/>
    <w:rsid w:val="00D2268A"/>
    <w:rsid w:val="00D24426"/>
    <w:rsid w:val="00D245D9"/>
    <w:rsid w:val="00D24D70"/>
    <w:rsid w:val="00D24F94"/>
    <w:rsid w:val="00D2518A"/>
    <w:rsid w:val="00D254AD"/>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3A1C"/>
    <w:rsid w:val="00D841F9"/>
    <w:rsid w:val="00D84B3B"/>
    <w:rsid w:val="00D85562"/>
    <w:rsid w:val="00D8577F"/>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31BD"/>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A90"/>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330"/>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65107380">
      <w:bodyDiv w:val="1"/>
      <w:marLeft w:val="0"/>
      <w:marRight w:val="0"/>
      <w:marTop w:val="0"/>
      <w:marBottom w:val="0"/>
      <w:divBdr>
        <w:top w:val="none" w:sz="0" w:space="0" w:color="auto"/>
        <w:left w:val="none" w:sz="0" w:space="0" w:color="auto"/>
        <w:bottom w:val="none" w:sz="0" w:space="0" w:color="auto"/>
        <w:right w:val="none" w:sz="0" w:space="0" w:color="auto"/>
      </w:divBdr>
      <w:divsChild>
        <w:div w:id="1087993388">
          <w:marLeft w:val="0"/>
          <w:marRight w:val="0"/>
          <w:marTop w:val="0"/>
          <w:marBottom w:val="0"/>
          <w:divBdr>
            <w:top w:val="none" w:sz="0" w:space="0" w:color="auto"/>
            <w:left w:val="none" w:sz="0" w:space="0" w:color="auto"/>
            <w:bottom w:val="none" w:sz="0" w:space="0" w:color="auto"/>
            <w:right w:val="none" w:sz="0" w:space="0" w:color="auto"/>
          </w:divBdr>
          <w:divsChild>
            <w:div w:id="15472847">
              <w:marLeft w:val="0"/>
              <w:marRight w:val="0"/>
              <w:marTop w:val="0"/>
              <w:marBottom w:val="0"/>
              <w:divBdr>
                <w:top w:val="none" w:sz="0" w:space="0" w:color="auto"/>
                <w:left w:val="none" w:sz="0" w:space="0" w:color="auto"/>
                <w:bottom w:val="none" w:sz="0" w:space="0" w:color="auto"/>
                <w:right w:val="none" w:sz="0" w:space="0" w:color="auto"/>
              </w:divBdr>
              <w:divsChild>
                <w:div w:id="1173641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85190">
          <w:marLeft w:val="0"/>
          <w:marRight w:val="0"/>
          <w:marTop w:val="0"/>
          <w:marBottom w:val="0"/>
          <w:divBdr>
            <w:top w:val="none" w:sz="0" w:space="0" w:color="auto"/>
            <w:left w:val="none" w:sz="0" w:space="0" w:color="auto"/>
            <w:bottom w:val="none" w:sz="0" w:space="0" w:color="auto"/>
            <w:right w:val="none" w:sz="0" w:space="0" w:color="auto"/>
          </w:divBdr>
          <w:divsChild>
            <w:div w:id="2128813331">
              <w:marLeft w:val="0"/>
              <w:marRight w:val="0"/>
              <w:marTop w:val="0"/>
              <w:marBottom w:val="0"/>
              <w:divBdr>
                <w:top w:val="none" w:sz="0" w:space="0" w:color="auto"/>
                <w:left w:val="none" w:sz="0" w:space="0" w:color="auto"/>
                <w:bottom w:val="none" w:sz="0" w:space="0" w:color="auto"/>
                <w:right w:val="none" w:sz="0" w:space="0" w:color="auto"/>
              </w:divBdr>
              <w:divsChild>
                <w:div w:id="828181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7925305">
          <w:marLeft w:val="0"/>
          <w:marRight w:val="0"/>
          <w:marTop w:val="0"/>
          <w:marBottom w:val="0"/>
          <w:divBdr>
            <w:top w:val="none" w:sz="0" w:space="0" w:color="auto"/>
            <w:left w:val="none" w:sz="0" w:space="0" w:color="auto"/>
            <w:bottom w:val="none" w:sz="0" w:space="0" w:color="auto"/>
            <w:right w:val="none" w:sz="0" w:space="0" w:color="auto"/>
          </w:divBdr>
          <w:divsChild>
            <w:div w:id="1408769465">
              <w:marLeft w:val="0"/>
              <w:marRight w:val="0"/>
              <w:marTop w:val="0"/>
              <w:marBottom w:val="0"/>
              <w:divBdr>
                <w:top w:val="none" w:sz="0" w:space="0" w:color="auto"/>
                <w:left w:val="none" w:sz="0" w:space="0" w:color="auto"/>
                <w:bottom w:val="none" w:sz="0" w:space="0" w:color="auto"/>
                <w:right w:val="none" w:sz="0" w:space="0" w:color="auto"/>
              </w:divBdr>
              <w:divsChild>
                <w:div w:id="14895183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382997">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4360391">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162304">
      <w:bodyDiv w:val="1"/>
      <w:marLeft w:val="0"/>
      <w:marRight w:val="0"/>
      <w:marTop w:val="0"/>
      <w:marBottom w:val="0"/>
      <w:divBdr>
        <w:top w:val="none" w:sz="0" w:space="0" w:color="auto"/>
        <w:left w:val="none" w:sz="0" w:space="0" w:color="auto"/>
        <w:bottom w:val="none" w:sz="0" w:space="0" w:color="auto"/>
        <w:right w:val="none" w:sz="0" w:space="0" w:color="auto"/>
      </w:divBdr>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1628328">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108">
      <w:bodyDiv w:val="1"/>
      <w:marLeft w:val="0"/>
      <w:marRight w:val="0"/>
      <w:marTop w:val="0"/>
      <w:marBottom w:val="0"/>
      <w:divBdr>
        <w:top w:val="none" w:sz="0" w:space="0" w:color="auto"/>
        <w:left w:val="none" w:sz="0" w:space="0" w:color="auto"/>
        <w:bottom w:val="none" w:sz="0" w:space="0" w:color="auto"/>
        <w:right w:val="none" w:sz="0" w:space="0" w:color="auto"/>
      </w:divBdr>
      <w:divsChild>
        <w:div w:id="1347903330">
          <w:marLeft w:val="0"/>
          <w:marRight w:val="0"/>
          <w:marTop w:val="0"/>
          <w:marBottom w:val="0"/>
          <w:divBdr>
            <w:top w:val="none" w:sz="0" w:space="0" w:color="auto"/>
            <w:left w:val="none" w:sz="0" w:space="0" w:color="auto"/>
            <w:bottom w:val="none" w:sz="0" w:space="0" w:color="auto"/>
            <w:right w:val="none" w:sz="0" w:space="0" w:color="auto"/>
          </w:divBdr>
          <w:divsChild>
            <w:div w:id="1463157882">
              <w:marLeft w:val="0"/>
              <w:marRight w:val="0"/>
              <w:marTop w:val="0"/>
              <w:marBottom w:val="0"/>
              <w:divBdr>
                <w:top w:val="none" w:sz="0" w:space="0" w:color="auto"/>
                <w:left w:val="none" w:sz="0" w:space="0" w:color="auto"/>
                <w:bottom w:val="none" w:sz="0" w:space="0" w:color="auto"/>
                <w:right w:val="none" w:sz="0" w:space="0" w:color="auto"/>
              </w:divBdr>
              <w:divsChild>
                <w:div w:id="2030446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9984899">
          <w:marLeft w:val="0"/>
          <w:marRight w:val="0"/>
          <w:marTop w:val="0"/>
          <w:marBottom w:val="0"/>
          <w:divBdr>
            <w:top w:val="none" w:sz="0" w:space="0" w:color="auto"/>
            <w:left w:val="none" w:sz="0" w:space="0" w:color="auto"/>
            <w:bottom w:val="none" w:sz="0" w:space="0" w:color="auto"/>
            <w:right w:val="none" w:sz="0" w:space="0" w:color="auto"/>
          </w:divBdr>
          <w:divsChild>
            <w:div w:id="34352448">
              <w:marLeft w:val="0"/>
              <w:marRight w:val="0"/>
              <w:marTop w:val="0"/>
              <w:marBottom w:val="0"/>
              <w:divBdr>
                <w:top w:val="none" w:sz="0" w:space="0" w:color="auto"/>
                <w:left w:val="none" w:sz="0" w:space="0" w:color="auto"/>
                <w:bottom w:val="none" w:sz="0" w:space="0" w:color="auto"/>
                <w:right w:val="none" w:sz="0" w:space="0" w:color="auto"/>
              </w:divBdr>
              <w:divsChild>
                <w:div w:id="1452095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2067278">
          <w:marLeft w:val="0"/>
          <w:marRight w:val="0"/>
          <w:marTop w:val="0"/>
          <w:marBottom w:val="0"/>
          <w:divBdr>
            <w:top w:val="none" w:sz="0" w:space="0" w:color="auto"/>
            <w:left w:val="none" w:sz="0" w:space="0" w:color="auto"/>
            <w:bottom w:val="none" w:sz="0" w:space="0" w:color="auto"/>
            <w:right w:val="none" w:sz="0" w:space="0" w:color="auto"/>
          </w:divBdr>
          <w:divsChild>
            <w:div w:id="39209357">
              <w:marLeft w:val="0"/>
              <w:marRight w:val="0"/>
              <w:marTop w:val="0"/>
              <w:marBottom w:val="0"/>
              <w:divBdr>
                <w:top w:val="none" w:sz="0" w:space="0" w:color="auto"/>
                <w:left w:val="none" w:sz="0" w:space="0" w:color="auto"/>
                <w:bottom w:val="none" w:sz="0" w:space="0" w:color="auto"/>
                <w:right w:val="none" w:sz="0" w:space="0" w:color="auto"/>
              </w:divBdr>
              <w:divsChild>
                <w:div w:id="14616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20780">
      <w:bodyDiv w:val="1"/>
      <w:marLeft w:val="0"/>
      <w:marRight w:val="0"/>
      <w:marTop w:val="0"/>
      <w:marBottom w:val="0"/>
      <w:divBdr>
        <w:top w:val="none" w:sz="0" w:space="0" w:color="auto"/>
        <w:left w:val="none" w:sz="0" w:space="0" w:color="auto"/>
        <w:bottom w:val="none" w:sz="0" w:space="0" w:color="auto"/>
        <w:right w:val="none" w:sz="0" w:space="0" w:color="auto"/>
      </w:divBdr>
      <w:divsChild>
        <w:div w:id="549534633">
          <w:marLeft w:val="0"/>
          <w:marRight w:val="0"/>
          <w:marTop w:val="0"/>
          <w:marBottom w:val="0"/>
          <w:divBdr>
            <w:top w:val="none" w:sz="0" w:space="0" w:color="auto"/>
            <w:left w:val="none" w:sz="0" w:space="0" w:color="auto"/>
            <w:bottom w:val="none" w:sz="0" w:space="0" w:color="auto"/>
            <w:right w:val="none" w:sz="0" w:space="0" w:color="auto"/>
          </w:divBdr>
          <w:divsChild>
            <w:div w:id="218443723">
              <w:marLeft w:val="0"/>
              <w:marRight w:val="0"/>
              <w:marTop w:val="0"/>
              <w:marBottom w:val="0"/>
              <w:divBdr>
                <w:top w:val="none" w:sz="0" w:space="0" w:color="auto"/>
                <w:left w:val="none" w:sz="0" w:space="0" w:color="auto"/>
                <w:bottom w:val="none" w:sz="0" w:space="0" w:color="auto"/>
                <w:right w:val="none" w:sz="0" w:space="0" w:color="auto"/>
              </w:divBdr>
              <w:divsChild>
                <w:div w:id="1284735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368717">
          <w:marLeft w:val="0"/>
          <w:marRight w:val="0"/>
          <w:marTop w:val="0"/>
          <w:marBottom w:val="0"/>
          <w:divBdr>
            <w:top w:val="none" w:sz="0" w:space="0" w:color="auto"/>
            <w:left w:val="none" w:sz="0" w:space="0" w:color="auto"/>
            <w:bottom w:val="none" w:sz="0" w:space="0" w:color="auto"/>
            <w:right w:val="none" w:sz="0" w:space="0" w:color="auto"/>
          </w:divBdr>
          <w:divsChild>
            <w:div w:id="1372143968">
              <w:marLeft w:val="0"/>
              <w:marRight w:val="0"/>
              <w:marTop w:val="0"/>
              <w:marBottom w:val="0"/>
              <w:divBdr>
                <w:top w:val="none" w:sz="0" w:space="0" w:color="auto"/>
                <w:left w:val="none" w:sz="0" w:space="0" w:color="auto"/>
                <w:bottom w:val="none" w:sz="0" w:space="0" w:color="auto"/>
                <w:right w:val="none" w:sz="0" w:space="0" w:color="auto"/>
              </w:divBdr>
              <w:divsChild>
                <w:div w:id="1691950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3873641">
          <w:marLeft w:val="0"/>
          <w:marRight w:val="0"/>
          <w:marTop w:val="0"/>
          <w:marBottom w:val="0"/>
          <w:divBdr>
            <w:top w:val="none" w:sz="0" w:space="0" w:color="auto"/>
            <w:left w:val="none" w:sz="0" w:space="0" w:color="auto"/>
            <w:bottom w:val="none" w:sz="0" w:space="0" w:color="auto"/>
            <w:right w:val="none" w:sz="0" w:space="0" w:color="auto"/>
          </w:divBdr>
          <w:divsChild>
            <w:div w:id="21787829">
              <w:marLeft w:val="0"/>
              <w:marRight w:val="0"/>
              <w:marTop w:val="0"/>
              <w:marBottom w:val="0"/>
              <w:divBdr>
                <w:top w:val="none" w:sz="0" w:space="0" w:color="auto"/>
                <w:left w:val="none" w:sz="0" w:space="0" w:color="auto"/>
                <w:bottom w:val="none" w:sz="0" w:space="0" w:color="auto"/>
                <w:right w:val="none" w:sz="0" w:space="0" w:color="auto"/>
              </w:divBdr>
              <w:divsChild>
                <w:div w:id="334917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456314">
          <w:marLeft w:val="0"/>
          <w:marRight w:val="0"/>
          <w:marTop w:val="0"/>
          <w:marBottom w:val="0"/>
          <w:divBdr>
            <w:top w:val="none" w:sz="0" w:space="0" w:color="auto"/>
            <w:left w:val="none" w:sz="0" w:space="0" w:color="auto"/>
            <w:bottom w:val="none" w:sz="0" w:space="0" w:color="auto"/>
            <w:right w:val="none" w:sz="0" w:space="0" w:color="auto"/>
          </w:divBdr>
          <w:divsChild>
            <w:div w:id="1938709733">
              <w:marLeft w:val="0"/>
              <w:marRight w:val="0"/>
              <w:marTop w:val="0"/>
              <w:marBottom w:val="0"/>
              <w:divBdr>
                <w:top w:val="none" w:sz="0" w:space="0" w:color="auto"/>
                <w:left w:val="none" w:sz="0" w:space="0" w:color="auto"/>
                <w:bottom w:val="none" w:sz="0" w:space="0" w:color="auto"/>
                <w:right w:val="none" w:sz="0" w:space="0" w:color="auto"/>
              </w:divBdr>
              <w:divsChild>
                <w:div w:id="1367946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9357285">
          <w:marLeft w:val="0"/>
          <w:marRight w:val="0"/>
          <w:marTop w:val="0"/>
          <w:marBottom w:val="0"/>
          <w:divBdr>
            <w:top w:val="none" w:sz="0" w:space="0" w:color="auto"/>
            <w:left w:val="none" w:sz="0" w:space="0" w:color="auto"/>
            <w:bottom w:val="none" w:sz="0" w:space="0" w:color="auto"/>
            <w:right w:val="none" w:sz="0" w:space="0" w:color="auto"/>
          </w:divBdr>
          <w:divsChild>
            <w:div w:id="229318162">
              <w:marLeft w:val="0"/>
              <w:marRight w:val="0"/>
              <w:marTop w:val="0"/>
              <w:marBottom w:val="0"/>
              <w:divBdr>
                <w:top w:val="none" w:sz="0" w:space="0" w:color="auto"/>
                <w:left w:val="none" w:sz="0" w:space="0" w:color="auto"/>
                <w:bottom w:val="none" w:sz="0" w:space="0" w:color="auto"/>
                <w:right w:val="none" w:sz="0" w:space="0" w:color="auto"/>
              </w:divBdr>
              <w:divsChild>
                <w:div w:id="279840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983429">
          <w:marLeft w:val="0"/>
          <w:marRight w:val="0"/>
          <w:marTop w:val="0"/>
          <w:marBottom w:val="0"/>
          <w:divBdr>
            <w:top w:val="none" w:sz="0" w:space="0" w:color="auto"/>
            <w:left w:val="none" w:sz="0" w:space="0" w:color="auto"/>
            <w:bottom w:val="none" w:sz="0" w:space="0" w:color="auto"/>
            <w:right w:val="none" w:sz="0" w:space="0" w:color="auto"/>
          </w:divBdr>
          <w:divsChild>
            <w:div w:id="1653486552">
              <w:marLeft w:val="0"/>
              <w:marRight w:val="0"/>
              <w:marTop w:val="0"/>
              <w:marBottom w:val="0"/>
              <w:divBdr>
                <w:top w:val="none" w:sz="0" w:space="0" w:color="auto"/>
                <w:left w:val="none" w:sz="0" w:space="0" w:color="auto"/>
                <w:bottom w:val="none" w:sz="0" w:space="0" w:color="auto"/>
                <w:right w:val="none" w:sz="0" w:space="0" w:color="auto"/>
              </w:divBdr>
              <w:divsChild>
                <w:div w:id="19594122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7912739">
          <w:marLeft w:val="0"/>
          <w:marRight w:val="0"/>
          <w:marTop w:val="0"/>
          <w:marBottom w:val="0"/>
          <w:divBdr>
            <w:top w:val="none" w:sz="0" w:space="0" w:color="auto"/>
            <w:left w:val="none" w:sz="0" w:space="0" w:color="auto"/>
            <w:bottom w:val="none" w:sz="0" w:space="0" w:color="auto"/>
            <w:right w:val="none" w:sz="0" w:space="0" w:color="auto"/>
          </w:divBdr>
          <w:divsChild>
            <w:div w:id="355035201">
              <w:marLeft w:val="0"/>
              <w:marRight w:val="0"/>
              <w:marTop w:val="0"/>
              <w:marBottom w:val="0"/>
              <w:divBdr>
                <w:top w:val="none" w:sz="0" w:space="0" w:color="auto"/>
                <w:left w:val="none" w:sz="0" w:space="0" w:color="auto"/>
                <w:bottom w:val="none" w:sz="0" w:space="0" w:color="auto"/>
                <w:right w:val="none" w:sz="0" w:space="0" w:color="auto"/>
              </w:divBdr>
              <w:divsChild>
                <w:div w:id="344674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3150728">
          <w:marLeft w:val="0"/>
          <w:marRight w:val="0"/>
          <w:marTop w:val="0"/>
          <w:marBottom w:val="0"/>
          <w:divBdr>
            <w:top w:val="none" w:sz="0" w:space="0" w:color="auto"/>
            <w:left w:val="none" w:sz="0" w:space="0" w:color="auto"/>
            <w:bottom w:val="none" w:sz="0" w:space="0" w:color="auto"/>
            <w:right w:val="none" w:sz="0" w:space="0" w:color="auto"/>
          </w:divBdr>
          <w:divsChild>
            <w:div w:id="373190610">
              <w:marLeft w:val="0"/>
              <w:marRight w:val="0"/>
              <w:marTop w:val="0"/>
              <w:marBottom w:val="0"/>
              <w:divBdr>
                <w:top w:val="none" w:sz="0" w:space="0" w:color="auto"/>
                <w:left w:val="none" w:sz="0" w:space="0" w:color="auto"/>
                <w:bottom w:val="none" w:sz="0" w:space="0" w:color="auto"/>
                <w:right w:val="none" w:sz="0" w:space="0" w:color="auto"/>
              </w:divBdr>
              <w:divsChild>
                <w:div w:id="18527162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1467863">
          <w:marLeft w:val="0"/>
          <w:marRight w:val="0"/>
          <w:marTop w:val="0"/>
          <w:marBottom w:val="0"/>
          <w:divBdr>
            <w:top w:val="none" w:sz="0" w:space="0" w:color="auto"/>
            <w:left w:val="none" w:sz="0" w:space="0" w:color="auto"/>
            <w:bottom w:val="none" w:sz="0" w:space="0" w:color="auto"/>
            <w:right w:val="none" w:sz="0" w:space="0" w:color="auto"/>
          </w:divBdr>
          <w:divsChild>
            <w:div w:id="140465897">
              <w:marLeft w:val="0"/>
              <w:marRight w:val="0"/>
              <w:marTop w:val="0"/>
              <w:marBottom w:val="0"/>
              <w:divBdr>
                <w:top w:val="none" w:sz="0" w:space="0" w:color="auto"/>
                <w:left w:val="none" w:sz="0" w:space="0" w:color="auto"/>
                <w:bottom w:val="none" w:sz="0" w:space="0" w:color="auto"/>
                <w:right w:val="none" w:sz="0" w:space="0" w:color="auto"/>
              </w:divBdr>
              <w:divsChild>
                <w:div w:id="411660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016313">
          <w:marLeft w:val="0"/>
          <w:marRight w:val="0"/>
          <w:marTop w:val="0"/>
          <w:marBottom w:val="0"/>
          <w:divBdr>
            <w:top w:val="none" w:sz="0" w:space="0" w:color="auto"/>
            <w:left w:val="none" w:sz="0" w:space="0" w:color="auto"/>
            <w:bottom w:val="none" w:sz="0" w:space="0" w:color="auto"/>
            <w:right w:val="none" w:sz="0" w:space="0" w:color="auto"/>
          </w:divBdr>
          <w:divsChild>
            <w:div w:id="348606961">
              <w:marLeft w:val="0"/>
              <w:marRight w:val="0"/>
              <w:marTop w:val="0"/>
              <w:marBottom w:val="0"/>
              <w:divBdr>
                <w:top w:val="none" w:sz="0" w:space="0" w:color="auto"/>
                <w:left w:val="none" w:sz="0" w:space="0" w:color="auto"/>
                <w:bottom w:val="none" w:sz="0" w:space="0" w:color="auto"/>
                <w:right w:val="none" w:sz="0" w:space="0" w:color="auto"/>
              </w:divBdr>
              <w:divsChild>
                <w:div w:id="119842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42266">
          <w:marLeft w:val="0"/>
          <w:marRight w:val="0"/>
          <w:marTop w:val="0"/>
          <w:marBottom w:val="0"/>
          <w:divBdr>
            <w:top w:val="none" w:sz="0" w:space="0" w:color="auto"/>
            <w:left w:val="none" w:sz="0" w:space="0" w:color="auto"/>
            <w:bottom w:val="none" w:sz="0" w:space="0" w:color="auto"/>
            <w:right w:val="none" w:sz="0" w:space="0" w:color="auto"/>
          </w:divBdr>
          <w:divsChild>
            <w:div w:id="794909445">
              <w:marLeft w:val="0"/>
              <w:marRight w:val="0"/>
              <w:marTop w:val="0"/>
              <w:marBottom w:val="0"/>
              <w:divBdr>
                <w:top w:val="none" w:sz="0" w:space="0" w:color="auto"/>
                <w:left w:val="none" w:sz="0" w:space="0" w:color="auto"/>
                <w:bottom w:val="none" w:sz="0" w:space="0" w:color="auto"/>
                <w:right w:val="none" w:sz="0" w:space="0" w:color="auto"/>
              </w:divBdr>
              <w:divsChild>
                <w:div w:id="1101334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0085412">
          <w:marLeft w:val="0"/>
          <w:marRight w:val="0"/>
          <w:marTop w:val="0"/>
          <w:marBottom w:val="0"/>
          <w:divBdr>
            <w:top w:val="none" w:sz="0" w:space="0" w:color="auto"/>
            <w:left w:val="none" w:sz="0" w:space="0" w:color="auto"/>
            <w:bottom w:val="none" w:sz="0" w:space="0" w:color="auto"/>
            <w:right w:val="none" w:sz="0" w:space="0" w:color="auto"/>
          </w:divBdr>
          <w:divsChild>
            <w:div w:id="1085305938">
              <w:marLeft w:val="0"/>
              <w:marRight w:val="0"/>
              <w:marTop w:val="0"/>
              <w:marBottom w:val="0"/>
              <w:divBdr>
                <w:top w:val="none" w:sz="0" w:space="0" w:color="auto"/>
                <w:left w:val="none" w:sz="0" w:space="0" w:color="auto"/>
                <w:bottom w:val="none" w:sz="0" w:space="0" w:color="auto"/>
                <w:right w:val="none" w:sz="0" w:space="0" w:color="auto"/>
              </w:divBdr>
              <w:divsChild>
                <w:div w:id="884559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9711833">
          <w:marLeft w:val="0"/>
          <w:marRight w:val="0"/>
          <w:marTop w:val="0"/>
          <w:marBottom w:val="0"/>
          <w:divBdr>
            <w:top w:val="none" w:sz="0" w:space="0" w:color="auto"/>
            <w:left w:val="none" w:sz="0" w:space="0" w:color="auto"/>
            <w:bottom w:val="none" w:sz="0" w:space="0" w:color="auto"/>
            <w:right w:val="none" w:sz="0" w:space="0" w:color="auto"/>
          </w:divBdr>
          <w:divsChild>
            <w:div w:id="1246039681">
              <w:marLeft w:val="0"/>
              <w:marRight w:val="0"/>
              <w:marTop w:val="0"/>
              <w:marBottom w:val="0"/>
              <w:divBdr>
                <w:top w:val="none" w:sz="0" w:space="0" w:color="auto"/>
                <w:left w:val="none" w:sz="0" w:space="0" w:color="auto"/>
                <w:bottom w:val="none" w:sz="0" w:space="0" w:color="auto"/>
                <w:right w:val="none" w:sz="0" w:space="0" w:color="auto"/>
              </w:divBdr>
              <w:divsChild>
                <w:div w:id="1606574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17145">
          <w:marLeft w:val="0"/>
          <w:marRight w:val="0"/>
          <w:marTop w:val="0"/>
          <w:marBottom w:val="0"/>
          <w:divBdr>
            <w:top w:val="none" w:sz="0" w:space="0" w:color="auto"/>
            <w:left w:val="none" w:sz="0" w:space="0" w:color="auto"/>
            <w:bottom w:val="none" w:sz="0" w:space="0" w:color="auto"/>
            <w:right w:val="none" w:sz="0" w:space="0" w:color="auto"/>
          </w:divBdr>
          <w:divsChild>
            <w:div w:id="1975527397">
              <w:marLeft w:val="0"/>
              <w:marRight w:val="0"/>
              <w:marTop w:val="0"/>
              <w:marBottom w:val="0"/>
              <w:divBdr>
                <w:top w:val="none" w:sz="0" w:space="0" w:color="auto"/>
                <w:left w:val="none" w:sz="0" w:space="0" w:color="auto"/>
                <w:bottom w:val="none" w:sz="0" w:space="0" w:color="auto"/>
                <w:right w:val="none" w:sz="0" w:space="0" w:color="auto"/>
              </w:divBdr>
              <w:divsChild>
                <w:div w:id="116111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4685144">
          <w:marLeft w:val="0"/>
          <w:marRight w:val="0"/>
          <w:marTop w:val="0"/>
          <w:marBottom w:val="0"/>
          <w:divBdr>
            <w:top w:val="none" w:sz="0" w:space="0" w:color="auto"/>
            <w:left w:val="none" w:sz="0" w:space="0" w:color="auto"/>
            <w:bottom w:val="none" w:sz="0" w:space="0" w:color="auto"/>
            <w:right w:val="none" w:sz="0" w:space="0" w:color="auto"/>
          </w:divBdr>
          <w:divsChild>
            <w:div w:id="598874866">
              <w:marLeft w:val="0"/>
              <w:marRight w:val="0"/>
              <w:marTop w:val="0"/>
              <w:marBottom w:val="0"/>
              <w:divBdr>
                <w:top w:val="none" w:sz="0" w:space="0" w:color="auto"/>
                <w:left w:val="none" w:sz="0" w:space="0" w:color="auto"/>
                <w:bottom w:val="none" w:sz="0" w:space="0" w:color="auto"/>
                <w:right w:val="none" w:sz="0" w:space="0" w:color="auto"/>
              </w:divBdr>
              <w:divsChild>
                <w:div w:id="1653101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994852">
          <w:marLeft w:val="0"/>
          <w:marRight w:val="0"/>
          <w:marTop w:val="0"/>
          <w:marBottom w:val="0"/>
          <w:divBdr>
            <w:top w:val="none" w:sz="0" w:space="0" w:color="auto"/>
            <w:left w:val="none" w:sz="0" w:space="0" w:color="auto"/>
            <w:bottom w:val="none" w:sz="0" w:space="0" w:color="auto"/>
            <w:right w:val="none" w:sz="0" w:space="0" w:color="auto"/>
          </w:divBdr>
          <w:divsChild>
            <w:div w:id="1383210712">
              <w:marLeft w:val="0"/>
              <w:marRight w:val="0"/>
              <w:marTop w:val="0"/>
              <w:marBottom w:val="0"/>
              <w:divBdr>
                <w:top w:val="none" w:sz="0" w:space="0" w:color="auto"/>
                <w:left w:val="none" w:sz="0" w:space="0" w:color="auto"/>
                <w:bottom w:val="none" w:sz="0" w:space="0" w:color="auto"/>
                <w:right w:val="none" w:sz="0" w:space="0" w:color="auto"/>
              </w:divBdr>
              <w:divsChild>
                <w:div w:id="1907296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81601">
          <w:marLeft w:val="0"/>
          <w:marRight w:val="0"/>
          <w:marTop w:val="0"/>
          <w:marBottom w:val="0"/>
          <w:divBdr>
            <w:top w:val="none" w:sz="0" w:space="0" w:color="auto"/>
            <w:left w:val="none" w:sz="0" w:space="0" w:color="auto"/>
            <w:bottom w:val="none" w:sz="0" w:space="0" w:color="auto"/>
            <w:right w:val="none" w:sz="0" w:space="0" w:color="auto"/>
          </w:divBdr>
          <w:divsChild>
            <w:div w:id="928123511">
              <w:marLeft w:val="0"/>
              <w:marRight w:val="0"/>
              <w:marTop w:val="0"/>
              <w:marBottom w:val="0"/>
              <w:divBdr>
                <w:top w:val="none" w:sz="0" w:space="0" w:color="auto"/>
                <w:left w:val="none" w:sz="0" w:space="0" w:color="auto"/>
                <w:bottom w:val="none" w:sz="0" w:space="0" w:color="auto"/>
                <w:right w:val="none" w:sz="0" w:space="0" w:color="auto"/>
              </w:divBdr>
              <w:divsChild>
                <w:div w:id="1213810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686236">
          <w:marLeft w:val="0"/>
          <w:marRight w:val="0"/>
          <w:marTop w:val="0"/>
          <w:marBottom w:val="0"/>
          <w:divBdr>
            <w:top w:val="none" w:sz="0" w:space="0" w:color="auto"/>
            <w:left w:val="none" w:sz="0" w:space="0" w:color="auto"/>
            <w:bottom w:val="none" w:sz="0" w:space="0" w:color="auto"/>
            <w:right w:val="none" w:sz="0" w:space="0" w:color="auto"/>
          </w:divBdr>
          <w:divsChild>
            <w:div w:id="2075272615">
              <w:marLeft w:val="0"/>
              <w:marRight w:val="0"/>
              <w:marTop w:val="0"/>
              <w:marBottom w:val="0"/>
              <w:divBdr>
                <w:top w:val="none" w:sz="0" w:space="0" w:color="auto"/>
                <w:left w:val="none" w:sz="0" w:space="0" w:color="auto"/>
                <w:bottom w:val="none" w:sz="0" w:space="0" w:color="auto"/>
                <w:right w:val="none" w:sz="0" w:space="0" w:color="auto"/>
              </w:divBdr>
              <w:divsChild>
                <w:div w:id="720708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5773863">
          <w:marLeft w:val="0"/>
          <w:marRight w:val="0"/>
          <w:marTop w:val="0"/>
          <w:marBottom w:val="0"/>
          <w:divBdr>
            <w:top w:val="none" w:sz="0" w:space="0" w:color="auto"/>
            <w:left w:val="none" w:sz="0" w:space="0" w:color="auto"/>
            <w:bottom w:val="none" w:sz="0" w:space="0" w:color="auto"/>
            <w:right w:val="none" w:sz="0" w:space="0" w:color="auto"/>
          </w:divBdr>
          <w:divsChild>
            <w:div w:id="1187330279">
              <w:marLeft w:val="0"/>
              <w:marRight w:val="0"/>
              <w:marTop w:val="0"/>
              <w:marBottom w:val="0"/>
              <w:divBdr>
                <w:top w:val="none" w:sz="0" w:space="0" w:color="auto"/>
                <w:left w:val="none" w:sz="0" w:space="0" w:color="auto"/>
                <w:bottom w:val="none" w:sz="0" w:space="0" w:color="auto"/>
                <w:right w:val="none" w:sz="0" w:space="0" w:color="auto"/>
              </w:divBdr>
              <w:divsChild>
                <w:div w:id="2043283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4356104">
          <w:marLeft w:val="0"/>
          <w:marRight w:val="0"/>
          <w:marTop w:val="0"/>
          <w:marBottom w:val="0"/>
          <w:divBdr>
            <w:top w:val="none" w:sz="0" w:space="0" w:color="auto"/>
            <w:left w:val="none" w:sz="0" w:space="0" w:color="auto"/>
            <w:bottom w:val="none" w:sz="0" w:space="0" w:color="auto"/>
            <w:right w:val="none" w:sz="0" w:space="0" w:color="auto"/>
          </w:divBdr>
          <w:divsChild>
            <w:div w:id="1596589833">
              <w:marLeft w:val="0"/>
              <w:marRight w:val="0"/>
              <w:marTop w:val="0"/>
              <w:marBottom w:val="0"/>
              <w:divBdr>
                <w:top w:val="none" w:sz="0" w:space="0" w:color="auto"/>
                <w:left w:val="none" w:sz="0" w:space="0" w:color="auto"/>
                <w:bottom w:val="none" w:sz="0" w:space="0" w:color="auto"/>
                <w:right w:val="none" w:sz="0" w:space="0" w:color="auto"/>
              </w:divBdr>
              <w:divsChild>
                <w:div w:id="644818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5188">
      <w:bodyDiv w:val="1"/>
      <w:marLeft w:val="0"/>
      <w:marRight w:val="0"/>
      <w:marTop w:val="0"/>
      <w:marBottom w:val="0"/>
      <w:divBdr>
        <w:top w:val="none" w:sz="0" w:space="0" w:color="auto"/>
        <w:left w:val="none" w:sz="0" w:space="0" w:color="auto"/>
        <w:bottom w:val="none" w:sz="0" w:space="0" w:color="auto"/>
        <w:right w:val="none" w:sz="0" w:space="0" w:color="auto"/>
      </w:divBdr>
      <w:divsChild>
        <w:div w:id="1744837742">
          <w:marLeft w:val="0"/>
          <w:marRight w:val="0"/>
          <w:marTop w:val="0"/>
          <w:marBottom w:val="0"/>
          <w:divBdr>
            <w:top w:val="none" w:sz="0" w:space="0" w:color="auto"/>
            <w:left w:val="none" w:sz="0" w:space="0" w:color="auto"/>
            <w:bottom w:val="none" w:sz="0" w:space="0" w:color="auto"/>
            <w:right w:val="none" w:sz="0" w:space="0" w:color="auto"/>
          </w:divBdr>
          <w:divsChild>
            <w:div w:id="904030542">
              <w:marLeft w:val="0"/>
              <w:marRight w:val="0"/>
              <w:marTop w:val="0"/>
              <w:marBottom w:val="0"/>
              <w:divBdr>
                <w:top w:val="none" w:sz="0" w:space="0" w:color="auto"/>
                <w:left w:val="none" w:sz="0" w:space="0" w:color="auto"/>
                <w:bottom w:val="none" w:sz="0" w:space="0" w:color="auto"/>
                <w:right w:val="none" w:sz="0" w:space="0" w:color="auto"/>
              </w:divBdr>
              <w:divsChild>
                <w:div w:id="50463218">
                  <w:marLeft w:val="0"/>
                  <w:marRight w:val="0"/>
                  <w:marTop w:val="0"/>
                  <w:marBottom w:val="0"/>
                  <w:divBdr>
                    <w:top w:val="none" w:sz="0" w:space="0" w:color="auto"/>
                    <w:left w:val="none" w:sz="0" w:space="0" w:color="auto"/>
                    <w:bottom w:val="none" w:sz="0" w:space="0" w:color="auto"/>
                    <w:right w:val="none" w:sz="0" w:space="0" w:color="auto"/>
                  </w:divBdr>
                  <w:divsChild>
                    <w:div w:id="123812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3243955">
              <w:marLeft w:val="0"/>
              <w:marRight w:val="0"/>
              <w:marTop w:val="0"/>
              <w:marBottom w:val="0"/>
              <w:divBdr>
                <w:top w:val="none" w:sz="0" w:space="0" w:color="auto"/>
                <w:left w:val="none" w:sz="0" w:space="0" w:color="auto"/>
                <w:bottom w:val="none" w:sz="0" w:space="0" w:color="auto"/>
                <w:right w:val="none" w:sz="0" w:space="0" w:color="auto"/>
              </w:divBdr>
              <w:divsChild>
                <w:div w:id="703672620">
                  <w:marLeft w:val="0"/>
                  <w:marRight w:val="0"/>
                  <w:marTop w:val="0"/>
                  <w:marBottom w:val="0"/>
                  <w:divBdr>
                    <w:top w:val="none" w:sz="0" w:space="0" w:color="auto"/>
                    <w:left w:val="none" w:sz="0" w:space="0" w:color="auto"/>
                    <w:bottom w:val="none" w:sz="0" w:space="0" w:color="auto"/>
                    <w:right w:val="none" w:sz="0" w:space="0" w:color="auto"/>
                  </w:divBdr>
                  <w:divsChild>
                    <w:div w:id="2018069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9868759">
              <w:marLeft w:val="0"/>
              <w:marRight w:val="0"/>
              <w:marTop w:val="0"/>
              <w:marBottom w:val="0"/>
              <w:divBdr>
                <w:top w:val="none" w:sz="0" w:space="0" w:color="auto"/>
                <w:left w:val="none" w:sz="0" w:space="0" w:color="auto"/>
                <w:bottom w:val="none" w:sz="0" w:space="0" w:color="auto"/>
                <w:right w:val="none" w:sz="0" w:space="0" w:color="auto"/>
              </w:divBdr>
              <w:divsChild>
                <w:div w:id="2139299120">
                  <w:marLeft w:val="0"/>
                  <w:marRight w:val="0"/>
                  <w:marTop w:val="0"/>
                  <w:marBottom w:val="0"/>
                  <w:divBdr>
                    <w:top w:val="none" w:sz="0" w:space="0" w:color="auto"/>
                    <w:left w:val="none" w:sz="0" w:space="0" w:color="auto"/>
                    <w:bottom w:val="none" w:sz="0" w:space="0" w:color="auto"/>
                    <w:right w:val="none" w:sz="0" w:space="0" w:color="auto"/>
                  </w:divBdr>
                  <w:divsChild>
                    <w:div w:id="589847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90223">
              <w:marLeft w:val="0"/>
              <w:marRight w:val="0"/>
              <w:marTop w:val="0"/>
              <w:marBottom w:val="0"/>
              <w:divBdr>
                <w:top w:val="none" w:sz="0" w:space="0" w:color="auto"/>
                <w:left w:val="none" w:sz="0" w:space="0" w:color="auto"/>
                <w:bottom w:val="none" w:sz="0" w:space="0" w:color="auto"/>
                <w:right w:val="none" w:sz="0" w:space="0" w:color="auto"/>
              </w:divBdr>
              <w:divsChild>
                <w:div w:id="445349261">
                  <w:marLeft w:val="0"/>
                  <w:marRight w:val="0"/>
                  <w:marTop w:val="0"/>
                  <w:marBottom w:val="0"/>
                  <w:divBdr>
                    <w:top w:val="none" w:sz="0" w:space="0" w:color="auto"/>
                    <w:left w:val="none" w:sz="0" w:space="0" w:color="auto"/>
                    <w:bottom w:val="none" w:sz="0" w:space="0" w:color="auto"/>
                    <w:right w:val="none" w:sz="0" w:space="0" w:color="auto"/>
                  </w:divBdr>
                  <w:divsChild>
                    <w:div w:id="442765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1063761">
              <w:marLeft w:val="0"/>
              <w:marRight w:val="0"/>
              <w:marTop w:val="0"/>
              <w:marBottom w:val="0"/>
              <w:divBdr>
                <w:top w:val="none" w:sz="0" w:space="0" w:color="auto"/>
                <w:left w:val="none" w:sz="0" w:space="0" w:color="auto"/>
                <w:bottom w:val="none" w:sz="0" w:space="0" w:color="auto"/>
                <w:right w:val="none" w:sz="0" w:space="0" w:color="auto"/>
              </w:divBdr>
              <w:divsChild>
                <w:div w:id="1018704448">
                  <w:marLeft w:val="0"/>
                  <w:marRight w:val="0"/>
                  <w:marTop w:val="0"/>
                  <w:marBottom w:val="0"/>
                  <w:divBdr>
                    <w:top w:val="none" w:sz="0" w:space="0" w:color="auto"/>
                    <w:left w:val="none" w:sz="0" w:space="0" w:color="auto"/>
                    <w:bottom w:val="none" w:sz="0" w:space="0" w:color="auto"/>
                    <w:right w:val="none" w:sz="0" w:space="0" w:color="auto"/>
                  </w:divBdr>
                  <w:divsChild>
                    <w:div w:id="1833568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7522966">
              <w:marLeft w:val="0"/>
              <w:marRight w:val="0"/>
              <w:marTop w:val="0"/>
              <w:marBottom w:val="0"/>
              <w:divBdr>
                <w:top w:val="none" w:sz="0" w:space="0" w:color="auto"/>
                <w:left w:val="none" w:sz="0" w:space="0" w:color="auto"/>
                <w:bottom w:val="none" w:sz="0" w:space="0" w:color="auto"/>
                <w:right w:val="none" w:sz="0" w:space="0" w:color="auto"/>
              </w:divBdr>
              <w:divsChild>
                <w:div w:id="1847670602">
                  <w:marLeft w:val="0"/>
                  <w:marRight w:val="0"/>
                  <w:marTop w:val="0"/>
                  <w:marBottom w:val="0"/>
                  <w:divBdr>
                    <w:top w:val="none" w:sz="0" w:space="0" w:color="auto"/>
                    <w:left w:val="none" w:sz="0" w:space="0" w:color="auto"/>
                    <w:bottom w:val="none" w:sz="0" w:space="0" w:color="auto"/>
                    <w:right w:val="none" w:sz="0" w:space="0" w:color="auto"/>
                  </w:divBdr>
                  <w:divsChild>
                    <w:div w:id="169163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096117">
              <w:marLeft w:val="0"/>
              <w:marRight w:val="0"/>
              <w:marTop w:val="0"/>
              <w:marBottom w:val="0"/>
              <w:divBdr>
                <w:top w:val="none" w:sz="0" w:space="0" w:color="auto"/>
                <w:left w:val="none" w:sz="0" w:space="0" w:color="auto"/>
                <w:bottom w:val="none" w:sz="0" w:space="0" w:color="auto"/>
                <w:right w:val="none" w:sz="0" w:space="0" w:color="auto"/>
              </w:divBdr>
              <w:divsChild>
                <w:div w:id="241525038">
                  <w:marLeft w:val="0"/>
                  <w:marRight w:val="0"/>
                  <w:marTop w:val="0"/>
                  <w:marBottom w:val="0"/>
                  <w:divBdr>
                    <w:top w:val="none" w:sz="0" w:space="0" w:color="auto"/>
                    <w:left w:val="none" w:sz="0" w:space="0" w:color="auto"/>
                    <w:bottom w:val="none" w:sz="0" w:space="0" w:color="auto"/>
                    <w:right w:val="none" w:sz="0" w:space="0" w:color="auto"/>
                  </w:divBdr>
                  <w:divsChild>
                    <w:div w:id="45175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62080">
              <w:marLeft w:val="0"/>
              <w:marRight w:val="0"/>
              <w:marTop w:val="0"/>
              <w:marBottom w:val="0"/>
              <w:divBdr>
                <w:top w:val="none" w:sz="0" w:space="0" w:color="auto"/>
                <w:left w:val="none" w:sz="0" w:space="0" w:color="auto"/>
                <w:bottom w:val="none" w:sz="0" w:space="0" w:color="auto"/>
                <w:right w:val="none" w:sz="0" w:space="0" w:color="auto"/>
              </w:divBdr>
              <w:divsChild>
                <w:div w:id="1262445098">
                  <w:marLeft w:val="0"/>
                  <w:marRight w:val="0"/>
                  <w:marTop w:val="0"/>
                  <w:marBottom w:val="0"/>
                  <w:divBdr>
                    <w:top w:val="none" w:sz="0" w:space="0" w:color="auto"/>
                    <w:left w:val="none" w:sz="0" w:space="0" w:color="auto"/>
                    <w:bottom w:val="none" w:sz="0" w:space="0" w:color="auto"/>
                    <w:right w:val="none" w:sz="0" w:space="0" w:color="auto"/>
                  </w:divBdr>
                  <w:divsChild>
                    <w:div w:id="173111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0357485">
              <w:marLeft w:val="0"/>
              <w:marRight w:val="0"/>
              <w:marTop w:val="0"/>
              <w:marBottom w:val="0"/>
              <w:divBdr>
                <w:top w:val="none" w:sz="0" w:space="0" w:color="auto"/>
                <w:left w:val="none" w:sz="0" w:space="0" w:color="auto"/>
                <w:bottom w:val="none" w:sz="0" w:space="0" w:color="auto"/>
                <w:right w:val="none" w:sz="0" w:space="0" w:color="auto"/>
              </w:divBdr>
              <w:divsChild>
                <w:div w:id="1267694834">
                  <w:marLeft w:val="0"/>
                  <w:marRight w:val="0"/>
                  <w:marTop w:val="0"/>
                  <w:marBottom w:val="0"/>
                  <w:divBdr>
                    <w:top w:val="none" w:sz="0" w:space="0" w:color="auto"/>
                    <w:left w:val="none" w:sz="0" w:space="0" w:color="auto"/>
                    <w:bottom w:val="none" w:sz="0" w:space="0" w:color="auto"/>
                    <w:right w:val="none" w:sz="0" w:space="0" w:color="auto"/>
                  </w:divBdr>
                  <w:divsChild>
                    <w:div w:id="480197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3618232">
              <w:marLeft w:val="0"/>
              <w:marRight w:val="0"/>
              <w:marTop w:val="0"/>
              <w:marBottom w:val="0"/>
              <w:divBdr>
                <w:top w:val="none" w:sz="0" w:space="0" w:color="auto"/>
                <w:left w:val="none" w:sz="0" w:space="0" w:color="auto"/>
                <w:bottom w:val="none" w:sz="0" w:space="0" w:color="auto"/>
                <w:right w:val="none" w:sz="0" w:space="0" w:color="auto"/>
              </w:divBdr>
              <w:divsChild>
                <w:div w:id="418449647">
                  <w:marLeft w:val="0"/>
                  <w:marRight w:val="0"/>
                  <w:marTop w:val="0"/>
                  <w:marBottom w:val="0"/>
                  <w:divBdr>
                    <w:top w:val="none" w:sz="0" w:space="0" w:color="auto"/>
                    <w:left w:val="none" w:sz="0" w:space="0" w:color="auto"/>
                    <w:bottom w:val="none" w:sz="0" w:space="0" w:color="auto"/>
                    <w:right w:val="none" w:sz="0" w:space="0" w:color="auto"/>
                  </w:divBdr>
                  <w:divsChild>
                    <w:div w:id="144233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200401">
              <w:marLeft w:val="0"/>
              <w:marRight w:val="0"/>
              <w:marTop w:val="0"/>
              <w:marBottom w:val="0"/>
              <w:divBdr>
                <w:top w:val="none" w:sz="0" w:space="0" w:color="auto"/>
                <w:left w:val="none" w:sz="0" w:space="0" w:color="auto"/>
                <w:bottom w:val="none" w:sz="0" w:space="0" w:color="auto"/>
                <w:right w:val="none" w:sz="0" w:space="0" w:color="auto"/>
              </w:divBdr>
              <w:divsChild>
                <w:div w:id="1189225151">
                  <w:marLeft w:val="0"/>
                  <w:marRight w:val="0"/>
                  <w:marTop w:val="0"/>
                  <w:marBottom w:val="0"/>
                  <w:divBdr>
                    <w:top w:val="none" w:sz="0" w:space="0" w:color="auto"/>
                    <w:left w:val="none" w:sz="0" w:space="0" w:color="auto"/>
                    <w:bottom w:val="none" w:sz="0" w:space="0" w:color="auto"/>
                    <w:right w:val="none" w:sz="0" w:space="0" w:color="auto"/>
                  </w:divBdr>
                  <w:divsChild>
                    <w:div w:id="739206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084306">
              <w:marLeft w:val="0"/>
              <w:marRight w:val="0"/>
              <w:marTop w:val="0"/>
              <w:marBottom w:val="0"/>
              <w:divBdr>
                <w:top w:val="none" w:sz="0" w:space="0" w:color="auto"/>
                <w:left w:val="none" w:sz="0" w:space="0" w:color="auto"/>
                <w:bottom w:val="none" w:sz="0" w:space="0" w:color="auto"/>
                <w:right w:val="none" w:sz="0" w:space="0" w:color="auto"/>
              </w:divBdr>
              <w:divsChild>
                <w:div w:id="1371303730">
                  <w:marLeft w:val="0"/>
                  <w:marRight w:val="0"/>
                  <w:marTop w:val="0"/>
                  <w:marBottom w:val="0"/>
                  <w:divBdr>
                    <w:top w:val="none" w:sz="0" w:space="0" w:color="auto"/>
                    <w:left w:val="none" w:sz="0" w:space="0" w:color="auto"/>
                    <w:bottom w:val="none" w:sz="0" w:space="0" w:color="auto"/>
                    <w:right w:val="none" w:sz="0" w:space="0" w:color="auto"/>
                  </w:divBdr>
                  <w:divsChild>
                    <w:div w:id="1529030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4461062">
              <w:marLeft w:val="0"/>
              <w:marRight w:val="0"/>
              <w:marTop w:val="0"/>
              <w:marBottom w:val="0"/>
              <w:divBdr>
                <w:top w:val="none" w:sz="0" w:space="0" w:color="auto"/>
                <w:left w:val="none" w:sz="0" w:space="0" w:color="auto"/>
                <w:bottom w:val="none" w:sz="0" w:space="0" w:color="auto"/>
                <w:right w:val="none" w:sz="0" w:space="0" w:color="auto"/>
              </w:divBdr>
              <w:divsChild>
                <w:div w:id="1249382659">
                  <w:marLeft w:val="0"/>
                  <w:marRight w:val="0"/>
                  <w:marTop w:val="0"/>
                  <w:marBottom w:val="0"/>
                  <w:divBdr>
                    <w:top w:val="none" w:sz="0" w:space="0" w:color="auto"/>
                    <w:left w:val="none" w:sz="0" w:space="0" w:color="auto"/>
                    <w:bottom w:val="none" w:sz="0" w:space="0" w:color="auto"/>
                    <w:right w:val="none" w:sz="0" w:space="0" w:color="auto"/>
                  </w:divBdr>
                  <w:divsChild>
                    <w:div w:id="88586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874815">
              <w:marLeft w:val="0"/>
              <w:marRight w:val="0"/>
              <w:marTop w:val="0"/>
              <w:marBottom w:val="0"/>
              <w:divBdr>
                <w:top w:val="none" w:sz="0" w:space="0" w:color="auto"/>
                <w:left w:val="none" w:sz="0" w:space="0" w:color="auto"/>
                <w:bottom w:val="none" w:sz="0" w:space="0" w:color="auto"/>
                <w:right w:val="none" w:sz="0" w:space="0" w:color="auto"/>
              </w:divBdr>
              <w:divsChild>
                <w:div w:id="259263376">
                  <w:marLeft w:val="0"/>
                  <w:marRight w:val="0"/>
                  <w:marTop w:val="0"/>
                  <w:marBottom w:val="0"/>
                  <w:divBdr>
                    <w:top w:val="none" w:sz="0" w:space="0" w:color="auto"/>
                    <w:left w:val="none" w:sz="0" w:space="0" w:color="auto"/>
                    <w:bottom w:val="none" w:sz="0" w:space="0" w:color="auto"/>
                    <w:right w:val="none" w:sz="0" w:space="0" w:color="auto"/>
                  </w:divBdr>
                  <w:divsChild>
                    <w:div w:id="2005432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766800">
              <w:marLeft w:val="0"/>
              <w:marRight w:val="0"/>
              <w:marTop w:val="0"/>
              <w:marBottom w:val="0"/>
              <w:divBdr>
                <w:top w:val="none" w:sz="0" w:space="0" w:color="auto"/>
                <w:left w:val="none" w:sz="0" w:space="0" w:color="auto"/>
                <w:bottom w:val="none" w:sz="0" w:space="0" w:color="auto"/>
                <w:right w:val="none" w:sz="0" w:space="0" w:color="auto"/>
              </w:divBdr>
              <w:divsChild>
                <w:div w:id="301158349">
                  <w:marLeft w:val="0"/>
                  <w:marRight w:val="0"/>
                  <w:marTop w:val="0"/>
                  <w:marBottom w:val="0"/>
                  <w:divBdr>
                    <w:top w:val="none" w:sz="0" w:space="0" w:color="auto"/>
                    <w:left w:val="none" w:sz="0" w:space="0" w:color="auto"/>
                    <w:bottom w:val="none" w:sz="0" w:space="0" w:color="auto"/>
                    <w:right w:val="none" w:sz="0" w:space="0" w:color="auto"/>
                  </w:divBdr>
                  <w:divsChild>
                    <w:div w:id="633290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558844">
              <w:marLeft w:val="0"/>
              <w:marRight w:val="0"/>
              <w:marTop w:val="0"/>
              <w:marBottom w:val="0"/>
              <w:divBdr>
                <w:top w:val="none" w:sz="0" w:space="0" w:color="auto"/>
                <w:left w:val="none" w:sz="0" w:space="0" w:color="auto"/>
                <w:bottom w:val="none" w:sz="0" w:space="0" w:color="auto"/>
                <w:right w:val="none" w:sz="0" w:space="0" w:color="auto"/>
              </w:divBdr>
              <w:divsChild>
                <w:div w:id="131218055">
                  <w:marLeft w:val="0"/>
                  <w:marRight w:val="0"/>
                  <w:marTop w:val="0"/>
                  <w:marBottom w:val="0"/>
                  <w:divBdr>
                    <w:top w:val="none" w:sz="0" w:space="0" w:color="auto"/>
                    <w:left w:val="none" w:sz="0" w:space="0" w:color="auto"/>
                    <w:bottom w:val="none" w:sz="0" w:space="0" w:color="auto"/>
                    <w:right w:val="none" w:sz="0" w:space="0" w:color="auto"/>
                  </w:divBdr>
                  <w:divsChild>
                    <w:div w:id="1215073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28701">
              <w:marLeft w:val="0"/>
              <w:marRight w:val="0"/>
              <w:marTop w:val="0"/>
              <w:marBottom w:val="0"/>
              <w:divBdr>
                <w:top w:val="none" w:sz="0" w:space="0" w:color="auto"/>
                <w:left w:val="none" w:sz="0" w:space="0" w:color="auto"/>
                <w:bottom w:val="none" w:sz="0" w:space="0" w:color="auto"/>
                <w:right w:val="none" w:sz="0" w:space="0" w:color="auto"/>
              </w:divBdr>
              <w:divsChild>
                <w:div w:id="2143886418">
                  <w:marLeft w:val="0"/>
                  <w:marRight w:val="0"/>
                  <w:marTop w:val="0"/>
                  <w:marBottom w:val="0"/>
                  <w:divBdr>
                    <w:top w:val="none" w:sz="0" w:space="0" w:color="auto"/>
                    <w:left w:val="none" w:sz="0" w:space="0" w:color="auto"/>
                    <w:bottom w:val="none" w:sz="0" w:space="0" w:color="auto"/>
                    <w:right w:val="none" w:sz="0" w:space="0" w:color="auto"/>
                  </w:divBdr>
                  <w:divsChild>
                    <w:div w:id="689139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724559">
              <w:marLeft w:val="0"/>
              <w:marRight w:val="0"/>
              <w:marTop w:val="0"/>
              <w:marBottom w:val="0"/>
              <w:divBdr>
                <w:top w:val="none" w:sz="0" w:space="0" w:color="auto"/>
                <w:left w:val="none" w:sz="0" w:space="0" w:color="auto"/>
                <w:bottom w:val="none" w:sz="0" w:space="0" w:color="auto"/>
                <w:right w:val="none" w:sz="0" w:space="0" w:color="auto"/>
              </w:divBdr>
              <w:divsChild>
                <w:div w:id="505293704">
                  <w:marLeft w:val="0"/>
                  <w:marRight w:val="0"/>
                  <w:marTop w:val="0"/>
                  <w:marBottom w:val="0"/>
                  <w:divBdr>
                    <w:top w:val="none" w:sz="0" w:space="0" w:color="auto"/>
                    <w:left w:val="none" w:sz="0" w:space="0" w:color="auto"/>
                    <w:bottom w:val="none" w:sz="0" w:space="0" w:color="auto"/>
                    <w:right w:val="none" w:sz="0" w:space="0" w:color="auto"/>
                  </w:divBdr>
                  <w:divsChild>
                    <w:div w:id="510610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204743">
              <w:marLeft w:val="0"/>
              <w:marRight w:val="0"/>
              <w:marTop w:val="0"/>
              <w:marBottom w:val="0"/>
              <w:divBdr>
                <w:top w:val="none" w:sz="0" w:space="0" w:color="auto"/>
                <w:left w:val="none" w:sz="0" w:space="0" w:color="auto"/>
                <w:bottom w:val="none" w:sz="0" w:space="0" w:color="auto"/>
                <w:right w:val="none" w:sz="0" w:space="0" w:color="auto"/>
              </w:divBdr>
              <w:divsChild>
                <w:div w:id="1786000379">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330625">
              <w:marLeft w:val="0"/>
              <w:marRight w:val="0"/>
              <w:marTop w:val="0"/>
              <w:marBottom w:val="0"/>
              <w:divBdr>
                <w:top w:val="none" w:sz="0" w:space="0" w:color="auto"/>
                <w:left w:val="none" w:sz="0" w:space="0" w:color="auto"/>
                <w:bottom w:val="none" w:sz="0" w:space="0" w:color="auto"/>
                <w:right w:val="none" w:sz="0" w:space="0" w:color="auto"/>
              </w:divBdr>
              <w:divsChild>
                <w:div w:id="954562580">
                  <w:marLeft w:val="0"/>
                  <w:marRight w:val="0"/>
                  <w:marTop w:val="0"/>
                  <w:marBottom w:val="0"/>
                  <w:divBdr>
                    <w:top w:val="none" w:sz="0" w:space="0" w:color="auto"/>
                    <w:left w:val="none" w:sz="0" w:space="0" w:color="auto"/>
                    <w:bottom w:val="none" w:sz="0" w:space="0" w:color="auto"/>
                    <w:right w:val="none" w:sz="0" w:space="0" w:color="auto"/>
                  </w:divBdr>
                  <w:divsChild>
                    <w:div w:id="641426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6345">
      <w:bodyDiv w:val="1"/>
      <w:marLeft w:val="0"/>
      <w:marRight w:val="0"/>
      <w:marTop w:val="0"/>
      <w:marBottom w:val="0"/>
      <w:divBdr>
        <w:top w:val="none" w:sz="0" w:space="0" w:color="auto"/>
        <w:left w:val="none" w:sz="0" w:space="0" w:color="auto"/>
        <w:bottom w:val="none" w:sz="0" w:space="0" w:color="auto"/>
        <w:right w:val="none" w:sz="0" w:space="0" w:color="auto"/>
      </w:divBdr>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128173">
      <w:bodyDiv w:val="1"/>
      <w:marLeft w:val="0"/>
      <w:marRight w:val="0"/>
      <w:marTop w:val="0"/>
      <w:marBottom w:val="0"/>
      <w:divBdr>
        <w:top w:val="none" w:sz="0" w:space="0" w:color="auto"/>
        <w:left w:val="none" w:sz="0" w:space="0" w:color="auto"/>
        <w:bottom w:val="none" w:sz="0" w:space="0" w:color="auto"/>
        <w:right w:val="none" w:sz="0" w:space="0" w:color="auto"/>
      </w:divBdr>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86290">
      <w:bodyDiv w:val="1"/>
      <w:marLeft w:val="0"/>
      <w:marRight w:val="0"/>
      <w:marTop w:val="0"/>
      <w:marBottom w:val="0"/>
      <w:divBdr>
        <w:top w:val="none" w:sz="0" w:space="0" w:color="auto"/>
        <w:left w:val="none" w:sz="0" w:space="0" w:color="auto"/>
        <w:bottom w:val="none" w:sz="0" w:space="0" w:color="auto"/>
        <w:right w:val="none" w:sz="0" w:space="0" w:color="auto"/>
      </w:divBdr>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5737779">
      <w:bodyDiv w:val="1"/>
      <w:marLeft w:val="0"/>
      <w:marRight w:val="0"/>
      <w:marTop w:val="0"/>
      <w:marBottom w:val="0"/>
      <w:divBdr>
        <w:top w:val="none" w:sz="0" w:space="0" w:color="auto"/>
        <w:left w:val="none" w:sz="0" w:space="0" w:color="auto"/>
        <w:bottom w:val="none" w:sz="0" w:space="0" w:color="auto"/>
        <w:right w:val="none" w:sz="0" w:space="0" w:color="auto"/>
      </w:divBdr>
      <w:divsChild>
        <w:div w:id="1945114271">
          <w:marLeft w:val="0"/>
          <w:marRight w:val="0"/>
          <w:marTop w:val="150"/>
          <w:marBottom w:val="150"/>
          <w:divBdr>
            <w:top w:val="none" w:sz="0" w:space="0" w:color="auto"/>
            <w:left w:val="none" w:sz="0" w:space="0" w:color="auto"/>
            <w:bottom w:val="none" w:sz="0" w:space="0" w:color="auto"/>
            <w:right w:val="none" w:sz="0" w:space="0" w:color="auto"/>
          </w:divBdr>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55825">
      <w:bodyDiv w:val="1"/>
      <w:marLeft w:val="0"/>
      <w:marRight w:val="0"/>
      <w:marTop w:val="0"/>
      <w:marBottom w:val="0"/>
      <w:divBdr>
        <w:top w:val="none" w:sz="0" w:space="0" w:color="auto"/>
        <w:left w:val="none" w:sz="0" w:space="0" w:color="auto"/>
        <w:bottom w:val="none" w:sz="0" w:space="0" w:color="auto"/>
        <w:right w:val="none" w:sz="0" w:space="0" w:color="auto"/>
      </w:divBdr>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84818">
      <w:bodyDiv w:val="1"/>
      <w:marLeft w:val="0"/>
      <w:marRight w:val="0"/>
      <w:marTop w:val="0"/>
      <w:marBottom w:val="0"/>
      <w:divBdr>
        <w:top w:val="none" w:sz="0" w:space="0" w:color="auto"/>
        <w:left w:val="none" w:sz="0" w:space="0" w:color="auto"/>
        <w:bottom w:val="none" w:sz="0" w:space="0" w:color="auto"/>
        <w:right w:val="none" w:sz="0" w:space="0" w:color="auto"/>
      </w:divBdr>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866042">
      <w:bodyDiv w:val="1"/>
      <w:marLeft w:val="0"/>
      <w:marRight w:val="0"/>
      <w:marTop w:val="0"/>
      <w:marBottom w:val="0"/>
      <w:divBdr>
        <w:top w:val="none" w:sz="0" w:space="0" w:color="auto"/>
        <w:left w:val="none" w:sz="0" w:space="0" w:color="auto"/>
        <w:bottom w:val="none" w:sz="0" w:space="0" w:color="auto"/>
        <w:right w:val="none" w:sz="0" w:space="0" w:color="auto"/>
      </w:divBdr>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fip.impots.gouv.fr/bofip/12730-PGP.html/ACTU-2021-00005" TargetMode="External"/><Relationship Id="rId13" Type="http://schemas.openxmlformats.org/officeDocument/2006/relationships/hyperlink" Target="https://www.legifrance.gouv.fr/jorf/id/JORFTEXT000044378238" TargetMode="External"/><Relationship Id="rId18" Type="http://schemas.openxmlformats.org/officeDocument/2006/relationships/hyperlink" Target="https://bofip.impots.gouv.fr/bofip/13434-PGP.html/ACTU-2021-00315" TargetMode="External"/><Relationship Id="rId26" Type="http://schemas.openxmlformats.org/officeDocument/2006/relationships/hyperlink" Target="https://bofip.impots.gouv.fr/bofip/13369-PGP.html/ACTU-2021-00287" TargetMode="External"/><Relationship Id="rId39" Type="http://schemas.openxmlformats.org/officeDocument/2006/relationships/hyperlink" Target="https://bofip.impots.gouv.fr/bofip/13064-PGP.html/ACTU-2021-00171" TargetMode="External"/><Relationship Id="rId3" Type="http://schemas.openxmlformats.org/officeDocument/2006/relationships/styles" Target="styles.xml"/><Relationship Id="rId21" Type="http://schemas.openxmlformats.org/officeDocument/2006/relationships/hyperlink" Target="https://bofip.impots.gouv.fr/bofip/13388-PGP.html/ACTU-2021-00293" TargetMode="External"/><Relationship Id="rId34" Type="http://schemas.openxmlformats.org/officeDocument/2006/relationships/hyperlink" Target="https://bofip.impots.gouv.fr/bofip/13335-PGP.html/ACTU-2021-00271"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ofip.impots.gouv.fr/bofip/13270-PGP.html/ACTU-2021-00242" TargetMode="External"/><Relationship Id="rId17" Type="http://schemas.openxmlformats.org/officeDocument/2006/relationships/hyperlink" Target="https://bofip.impots.gouv.fr/bofip/13437-PGP.html/ACTU-2021-00316" TargetMode="External"/><Relationship Id="rId25" Type="http://schemas.openxmlformats.org/officeDocument/2006/relationships/hyperlink" Target="https://bofip.impots.gouv.fr/bofip/11205-PGP.html/ACTU-2018-00159" TargetMode="External"/><Relationship Id="rId33" Type="http://schemas.openxmlformats.org/officeDocument/2006/relationships/hyperlink" Target="https://bofip.impots.gouv.fr/bofip/13278-PGP.html/ACTU-2021-00247" TargetMode="External"/><Relationship Id="rId38" Type="http://schemas.openxmlformats.org/officeDocument/2006/relationships/hyperlink" Target="https://bofip.impots.gouv.fr/bofip/13298-PGP.html/ACTU-2021-00254" TargetMode="External"/><Relationship Id="rId2" Type="http://schemas.openxmlformats.org/officeDocument/2006/relationships/numbering" Target="numbering.xml"/><Relationship Id="rId16" Type="http://schemas.openxmlformats.org/officeDocument/2006/relationships/hyperlink" Target="https://www.ancols.fr/files/live/mounts/XNET_PRD-mount-mountPoint/INTERNET-PROD/Controle%20et%20suites/Rapport%20public%20annuel%20-%20RPAC/Ancols_RPAC2020_Rapport.pdf" TargetMode="External"/><Relationship Id="rId20" Type="http://schemas.openxmlformats.org/officeDocument/2006/relationships/hyperlink" Target="https://bofip.impots.gouv.fr/bofip/13411-PGP.html/ACTU-2021-00303" TargetMode="External"/><Relationship Id="rId29" Type="http://schemas.openxmlformats.org/officeDocument/2006/relationships/hyperlink" Target="https://bofip.impots.gouv.fr/bofip/13270-PGP.html/ACTU-2021-00242"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uri/id/JURITEXT000044384609?page=1&amp;pageSize=25&amp;query=19-17.281&amp;searchField=ALL&amp;searchType=ALL&amp;sortValue=DATE_DESC&amp;tab_selection=juri&amp;typePagination=DEFAULT" TargetMode="External"/><Relationship Id="rId24" Type="http://schemas.openxmlformats.org/officeDocument/2006/relationships/hyperlink" Target="https://bofip.impots.gouv.fr/bofip/13413-PGP.html/ACTU-2021-00305" TargetMode="External"/><Relationship Id="rId32" Type="http://schemas.openxmlformats.org/officeDocument/2006/relationships/hyperlink" Target="https://bofip.impots.gouv.fr/bofip/13416-PGP.html/ACTU-2021-00307" TargetMode="External"/><Relationship Id="rId37" Type="http://schemas.openxmlformats.org/officeDocument/2006/relationships/hyperlink" Target="https://bofip.impots.gouv.fr/bofip/13394-PGP.html/ACTU-2021-00296"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gifrance.gouv.fr/download/pdf?id=Sn89FYxg38Zkdp3c4ZYmSIk85GgPqvffEsbnZjwEPRE=" TargetMode="External"/><Relationship Id="rId23" Type="http://schemas.openxmlformats.org/officeDocument/2006/relationships/hyperlink" Target="https://bofip.impots.gouv.fr/bofip/13275-PGP.html/ACTU-2021-00245" TargetMode="External"/><Relationship Id="rId28" Type="http://schemas.openxmlformats.org/officeDocument/2006/relationships/hyperlink" Target="https://bofip.impots.gouv.fr/bofip/12730-PGP.html/ACTU-2021-00005" TargetMode="External"/><Relationship Id="rId36" Type="http://schemas.openxmlformats.org/officeDocument/2006/relationships/hyperlink" Target="https://bofip.impots.gouv.fr/bofip/13380-PGP.html/ACTU-2021-00290" TargetMode="External"/><Relationship Id="rId10" Type="http://schemas.openxmlformats.org/officeDocument/2006/relationships/hyperlink" Target="https://bofip.impots.gouv.fr/bofip/13388-PGP.html/ACTU-2021-00293" TargetMode="External"/><Relationship Id="rId19" Type="http://schemas.openxmlformats.org/officeDocument/2006/relationships/hyperlink" Target="https://bofip.impots.gouv.fr/bofip/13433-PGP.html/ACTU-2021-00314" TargetMode="External"/><Relationship Id="rId31" Type="http://schemas.openxmlformats.org/officeDocument/2006/relationships/hyperlink" Target="https://bofip.impots.gouv.fr/bofip/13327-PGP.html/ACTU-2021-0026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ofip.impots.gouv.fr/bofip/12779-PGP.html/ACTU-2021-00034" TargetMode="External"/><Relationship Id="rId14" Type="http://schemas.openxmlformats.org/officeDocument/2006/relationships/hyperlink" Target="https://www.legifrance.gouv.fr/jorf/id/JORFTEXT000044411525" TargetMode="External"/><Relationship Id="rId22" Type="http://schemas.openxmlformats.org/officeDocument/2006/relationships/hyperlink" Target="https://bofip.impots.gouv.fr/bofip/12953-PGP.html/ACTU-2021-00127" TargetMode="External"/><Relationship Id="rId27" Type="http://schemas.openxmlformats.org/officeDocument/2006/relationships/hyperlink" Target="https://bofip.impots.gouv.fr/bofip/12779-PGP.html/ACTU-2021-00034" TargetMode="External"/><Relationship Id="rId30" Type="http://schemas.openxmlformats.org/officeDocument/2006/relationships/hyperlink" Target="https://bofip.impots.gouv.fr/bofip/12745-PGP.html/ACTU-2021-00014" TargetMode="External"/><Relationship Id="rId35" Type="http://schemas.openxmlformats.org/officeDocument/2006/relationships/hyperlink" Target="https://bofip.impots.gouv.fr/bofip/13320-PGP.html/ACTU-2021-00265"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5</Pages>
  <Words>2936</Words>
  <Characters>16152</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19050</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75</cp:revision>
  <cp:lastPrinted>2020-08-04T09:31:00Z</cp:lastPrinted>
  <dcterms:created xsi:type="dcterms:W3CDTF">2021-03-04T15:01:00Z</dcterms:created>
  <dcterms:modified xsi:type="dcterms:W3CDTF">2021-12-31T14:30:00Z</dcterms:modified>
</cp:coreProperties>
</file>