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7E8FF94E"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48009B">
              <w:rPr>
                <w:rFonts w:ascii="Times New Roman" w:eastAsia="Times New Roman" w:hAnsi="Times New Roman"/>
                <w:noProof/>
                <w:sz w:val="20"/>
              </w:rPr>
              <w:t>1</w:t>
            </w:r>
            <w:r w:rsidR="001E5D0A">
              <w:rPr>
                <w:rFonts w:ascii="Times New Roman" w:eastAsia="Times New Roman" w:hAnsi="Times New Roman"/>
                <w:noProof/>
                <w:sz w:val="20"/>
              </w:rPr>
              <w:t>1</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6F0A3265" w:rsidR="003565C4" w:rsidRPr="00990583" w:rsidRDefault="00E911FE" w:rsidP="00E911FE">
            <w:pPr>
              <w:pStyle w:val="Corpsdetexte"/>
              <w:spacing w:before="0" w:after="0"/>
              <w:ind w:left="-8"/>
            </w:pPr>
            <w:r w:rsidRPr="00990583">
              <w:t>Paris</w:t>
            </w:r>
            <w:r w:rsidR="00B37B52" w:rsidRPr="00990583">
              <w:t xml:space="preserve">, le </w:t>
            </w:r>
            <w:r w:rsidR="00067E8F">
              <w:t>30</w:t>
            </w:r>
            <w:r w:rsidR="0048009B">
              <w:t xml:space="preserve"> novembre </w:t>
            </w:r>
            <w:r w:rsidR="00A57E3D" w:rsidRPr="00990583">
              <w:t>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18CE69AA" w:rsidR="00D1561B" w:rsidRDefault="00596118" w:rsidP="00A01213">
      <w:pPr>
        <w:spacing w:before="120" w:after="0" w:line="240" w:lineRule="auto"/>
        <w:ind w:left="1701" w:hanging="1701"/>
      </w:pPr>
      <w:r w:rsidRPr="00122165">
        <w:rPr>
          <w:b/>
        </w:rPr>
        <w:t>IS :</w:t>
      </w:r>
      <w:r w:rsidR="00D47E79">
        <w:t xml:space="preserve"> </w:t>
      </w:r>
      <w:r w:rsidR="00D47E79">
        <w:tab/>
      </w:r>
      <w:r w:rsidR="006F649E">
        <w:t>Rien à signaler</w:t>
      </w:r>
    </w:p>
    <w:p w14:paraId="073D1CB1" w14:textId="69611B23" w:rsidR="00916F7D" w:rsidRDefault="00596118" w:rsidP="00A01213">
      <w:pPr>
        <w:spacing w:before="120" w:after="0" w:line="240" w:lineRule="auto"/>
        <w:ind w:left="1701" w:hanging="1701"/>
      </w:pPr>
      <w:r w:rsidRPr="00122165">
        <w:rPr>
          <w:b/>
        </w:rPr>
        <w:t>TVA :</w:t>
      </w:r>
      <w:r w:rsidR="00DB56D6">
        <w:t xml:space="preserve"> </w:t>
      </w:r>
      <w:r w:rsidR="00DB56D6">
        <w:tab/>
      </w:r>
      <w:r w:rsidR="004330DD">
        <w:t xml:space="preserve">La marge est diminuée du coût des parcelles remises gratuitement à la commune - </w:t>
      </w:r>
    </w:p>
    <w:p w14:paraId="4E8276DC" w14:textId="5EBC09FA" w:rsidR="001261C0" w:rsidRDefault="00596118" w:rsidP="00A01213">
      <w:pPr>
        <w:spacing w:before="120" w:after="0" w:line="240" w:lineRule="auto"/>
        <w:ind w:left="1701" w:hanging="1701"/>
      </w:pPr>
      <w:r w:rsidRPr="00122165">
        <w:rPr>
          <w:b/>
        </w:rPr>
        <w:t>Locaux :</w:t>
      </w:r>
      <w:r w:rsidR="004A7406">
        <w:tab/>
      </w:r>
      <w:r w:rsidR="004330DD">
        <w:t xml:space="preserve">L’abandon de créance valant octroi d’une subvention d’investissement ne supporte pas la CVAE </w:t>
      </w:r>
      <w:r w:rsidR="00B6031B">
        <w:t>–</w:t>
      </w:r>
      <w:r w:rsidR="004330DD">
        <w:t xml:space="preserve"> </w:t>
      </w:r>
      <w:r w:rsidR="00B6031B">
        <w:t>Pas d’exonération de TH pour EMS privés -</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51D0E8E9" w:rsidR="00B50E23" w:rsidRDefault="00596118" w:rsidP="00A01213">
      <w:pPr>
        <w:spacing w:before="120" w:after="0" w:line="240" w:lineRule="auto"/>
        <w:ind w:left="1701" w:hanging="1701"/>
      </w:pPr>
      <w:r w:rsidRPr="00122165">
        <w:rPr>
          <w:b/>
        </w:rPr>
        <w:t>Divers</w:t>
      </w:r>
      <w:r w:rsidR="004A7406">
        <w:t xml:space="preserve"> :</w:t>
      </w:r>
      <w:r w:rsidR="004A7406">
        <w:tab/>
      </w:r>
      <w:r w:rsidR="00DB4F9A">
        <w:t>Rien à signaler</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322ED28D" w:rsidR="00B54BDA" w:rsidRDefault="00596118" w:rsidP="00A01213">
      <w:pPr>
        <w:spacing w:before="120" w:after="0" w:line="240" w:lineRule="auto"/>
        <w:ind w:left="1701" w:hanging="1701"/>
      </w:pPr>
      <w:r w:rsidRPr="00122165">
        <w:rPr>
          <w:b/>
        </w:rPr>
        <w:t>Publique :</w:t>
      </w:r>
      <w:r w:rsidR="00B00EF7">
        <w:t xml:space="preserve"> </w:t>
      </w:r>
      <w:r w:rsidR="00B00EF7">
        <w:tab/>
      </w:r>
      <w:r w:rsidR="00235330">
        <w:t>Rien à signaler</w:t>
      </w:r>
    </w:p>
    <w:p w14:paraId="5F6B1C19" w14:textId="5B50CA43" w:rsidR="005A391C" w:rsidRDefault="00596118" w:rsidP="00A01213">
      <w:pPr>
        <w:spacing w:before="120" w:after="0" w:line="240" w:lineRule="auto"/>
        <w:ind w:left="1701" w:hanging="1701"/>
      </w:pPr>
      <w:r w:rsidRPr="00122165">
        <w:rPr>
          <w:b/>
        </w:rPr>
        <w:t>Privée :</w:t>
      </w:r>
      <w:r w:rsidR="00B00EF7">
        <w:t xml:space="preserve"> </w:t>
      </w:r>
      <w:r w:rsidR="00B00EF7">
        <w:tab/>
      </w:r>
      <w:r w:rsidR="00B6031B">
        <w:t xml:space="preserve">Compte des OPCI – </w:t>
      </w:r>
      <w:r w:rsidR="006F649E">
        <w:t>M</w:t>
      </w:r>
      <w:r w:rsidR="00B6031B">
        <w:t>ise à jour des obligations pour les engagements de retraite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6C71E89D" w:rsidR="00B54BDA" w:rsidRDefault="00596118" w:rsidP="00A01213">
      <w:pPr>
        <w:spacing w:before="120" w:after="0" w:line="240" w:lineRule="auto"/>
        <w:ind w:left="1701" w:hanging="1701"/>
      </w:pPr>
      <w:r w:rsidRPr="00122165">
        <w:rPr>
          <w:b/>
        </w:rPr>
        <w:t>Textes :</w:t>
      </w:r>
      <w:r>
        <w:t xml:space="preserve"> </w:t>
      </w:r>
      <w:r w:rsidR="00223947">
        <w:tab/>
      </w:r>
      <w:r w:rsidR="00B6031B">
        <w:t xml:space="preserve">Les nouveaux seuils pour les marchés et les concessions – Réforme des procédures collectives des entreprises – Contrôle des agents immobiliers </w:t>
      </w:r>
    </w:p>
    <w:p w14:paraId="41468130" w14:textId="7CB126FA" w:rsidR="006B1E5F" w:rsidRDefault="00596118" w:rsidP="00A01213">
      <w:pPr>
        <w:spacing w:before="120" w:after="0" w:line="240" w:lineRule="auto"/>
        <w:ind w:left="1701" w:hanging="1701"/>
      </w:pPr>
      <w:r w:rsidRPr="00122165">
        <w:rPr>
          <w:b/>
        </w:rPr>
        <w:t>Réponses :</w:t>
      </w:r>
      <w:r>
        <w:t xml:space="preserve"> </w:t>
      </w:r>
      <w:r w:rsidR="00223947">
        <w:tab/>
      </w:r>
      <w:r w:rsidR="00B6031B">
        <w:t>Option pour la TVA lot par lot en cas de location – Pas de compensation de TH pour les nouveaux logements sociaux -</w:t>
      </w:r>
    </w:p>
    <w:p w14:paraId="48D6DEFC" w14:textId="51F95832" w:rsidR="00CE269F" w:rsidRDefault="00596118" w:rsidP="00A01213">
      <w:pPr>
        <w:spacing w:before="120" w:after="0" w:line="240" w:lineRule="auto"/>
        <w:ind w:left="1701" w:hanging="1701"/>
      </w:pPr>
      <w:r w:rsidRPr="004E2169">
        <w:rPr>
          <w:b/>
          <w:spacing w:val="-8"/>
        </w:rPr>
        <w:t>Jurisprudence :</w:t>
      </w:r>
      <w:r>
        <w:t xml:space="preserve"> </w:t>
      </w:r>
      <w:r w:rsidR="00223947">
        <w:tab/>
      </w:r>
      <w:r w:rsidR="00B6031B">
        <w:t>Existence possible d’une servitude sur le domaine public -</w:t>
      </w:r>
    </w:p>
    <w:p w14:paraId="76354D80" w14:textId="4B1981A2" w:rsidR="00004382" w:rsidRDefault="00596118" w:rsidP="00A01213">
      <w:pPr>
        <w:spacing w:before="120" w:after="0" w:line="240" w:lineRule="auto"/>
        <w:ind w:left="1701" w:hanging="1701"/>
      </w:pPr>
      <w:r w:rsidRPr="00122165">
        <w:rPr>
          <w:b/>
        </w:rPr>
        <w:t>Divers :</w:t>
      </w:r>
      <w:r>
        <w:t xml:space="preserve"> </w:t>
      </w:r>
      <w:r>
        <w:tab/>
      </w:r>
      <w:r w:rsidR="00FD2330">
        <w:t>R</w:t>
      </w:r>
      <w:r w:rsidR="00FD2330">
        <w:t>ien à signaler</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52B897A6" w14:textId="3543FF2C" w:rsidR="00595099" w:rsidRPr="006F649E" w:rsidRDefault="006F649E" w:rsidP="006F649E">
      <w:pPr>
        <w:keepNext/>
        <w:spacing w:before="120" w:after="0" w:line="240" w:lineRule="auto"/>
        <w:rPr>
          <w:rFonts w:cs="Times"/>
          <w:color w:val="003300"/>
          <w:szCs w:val="24"/>
          <w:u w:val="single"/>
        </w:rPr>
      </w:pPr>
      <w:r>
        <w:rPr>
          <w:color w:val="003300"/>
        </w:rPr>
        <w:t>Rien à signaler</w:t>
      </w:r>
    </w:p>
    <w:p w14:paraId="62E80419" w14:textId="52BDB43E"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28E291B7" w14:textId="02AB042B" w:rsidR="001E5D0A" w:rsidRDefault="002E1995" w:rsidP="006320BB">
      <w:pPr>
        <w:keepNext/>
        <w:spacing w:before="120" w:after="0" w:line="240" w:lineRule="auto"/>
        <w:rPr>
          <w:color w:val="003300"/>
        </w:rPr>
      </w:pPr>
      <w:r>
        <w:rPr>
          <w:color w:val="003300"/>
          <w:u w:val="single"/>
        </w:rPr>
        <w:t>TVA sur marge</w:t>
      </w:r>
      <w:r>
        <w:rPr>
          <w:color w:val="003300"/>
        </w:rPr>
        <w:t xml:space="preserve"> – Le coût de revient comprend celui des parcelles remise gratuitement à la commune.</w:t>
      </w:r>
    </w:p>
    <w:p w14:paraId="75CBA78E" w14:textId="57E802A1" w:rsidR="002E1995" w:rsidRPr="00B56DBC" w:rsidRDefault="0022626E" w:rsidP="00B56DBC">
      <w:pPr>
        <w:keepNext/>
        <w:spacing w:before="120" w:after="0" w:line="240" w:lineRule="auto"/>
        <w:ind w:left="567"/>
      </w:pPr>
      <w:hyperlink r:id="rId8" w:history="1">
        <w:r w:rsidR="00B56DBC" w:rsidRPr="00B56DBC">
          <w:rPr>
            <w:rStyle w:val="Lienhypertexte"/>
          </w:rPr>
          <w:t>CE n° 433745</w:t>
        </w:r>
      </w:hyperlink>
      <w:r w:rsidR="00B56DBC" w:rsidRPr="00B56DBC">
        <w:t xml:space="preserve"> 13-10-2021 </w:t>
      </w:r>
    </w:p>
    <w:p w14:paraId="6CE58C92" w14:textId="5FED2CF5"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35D1EB14" w14:textId="0F3BD2DF" w:rsidR="006E12CD" w:rsidRDefault="00045B52" w:rsidP="00DB4F9A">
      <w:pPr>
        <w:keepNext/>
        <w:spacing w:before="120" w:after="0" w:line="240" w:lineRule="auto"/>
        <w:rPr>
          <w:color w:val="003300"/>
        </w:rPr>
      </w:pPr>
      <w:r w:rsidRPr="00045B52">
        <w:rPr>
          <w:color w:val="003300"/>
          <w:u w:val="single"/>
        </w:rPr>
        <w:t>Assiette de la CVAE</w:t>
      </w:r>
      <w:r>
        <w:rPr>
          <w:color w:val="003300"/>
        </w:rPr>
        <w:t xml:space="preserve"> – l’abandon d’une créance transformée en subvention d’investissement n’entre pas dans l’assiette de la CVAE.</w:t>
      </w:r>
    </w:p>
    <w:p w14:paraId="66A5B415" w14:textId="5C1C8ADE" w:rsidR="00045B52" w:rsidRDefault="0022626E" w:rsidP="00045B52">
      <w:pPr>
        <w:keepNext/>
        <w:spacing w:before="120" w:after="0" w:line="240" w:lineRule="auto"/>
        <w:ind w:left="567"/>
        <w:rPr>
          <w:color w:val="003300"/>
        </w:rPr>
      </w:pPr>
      <w:hyperlink r:id="rId9" w:history="1">
        <w:r w:rsidR="00045B52" w:rsidRPr="00045B52">
          <w:rPr>
            <w:rStyle w:val="Lienhypertexte"/>
          </w:rPr>
          <w:t>CE 20-10-2021 n° 450268</w:t>
        </w:r>
      </w:hyperlink>
    </w:p>
    <w:p w14:paraId="0B53726C" w14:textId="15F47362" w:rsidR="00045B52" w:rsidRDefault="00DD31BD" w:rsidP="00DB4F9A">
      <w:pPr>
        <w:keepNext/>
        <w:spacing w:before="120" w:after="0" w:line="240" w:lineRule="auto"/>
        <w:rPr>
          <w:color w:val="003300"/>
        </w:rPr>
      </w:pPr>
      <w:r>
        <w:rPr>
          <w:color w:val="003300"/>
          <w:u w:val="single"/>
        </w:rPr>
        <w:t>Taxe d’habitation</w:t>
      </w:r>
      <w:r>
        <w:rPr>
          <w:color w:val="003300"/>
        </w:rPr>
        <w:t xml:space="preserve"> – Pas d’exonération pour les établissements médico-sociaux privés car ce serait trop cher pour les communes.</w:t>
      </w:r>
    </w:p>
    <w:p w14:paraId="5DFB36D0" w14:textId="43461DB3" w:rsidR="00DD31BD" w:rsidRPr="004330DD" w:rsidRDefault="0022626E" w:rsidP="004330DD">
      <w:pPr>
        <w:keepNext/>
        <w:spacing w:before="120" w:after="0" w:line="240" w:lineRule="auto"/>
        <w:ind w:left="567"/>
      </w:pPr>
      <w:hyperlink r:id="rId10" w:history="1">
        <w:r w:rsidR="00DD31BD" w:rsidRPr="004330DD">
          <w:rPr>
            <w:rStyle w:val="Lienhypertexte"/>
          </w:rPr>
          <w:t>Réponse Questel n° 39421,</w:t>
        </w:r>
      </w:hyperlink>
      <w:r w:rsidR="00DD31BD" w:rsidRPr="004330DD">
        <w:t xml:space="preserve"> JOAN 16/11/21</w:t>
      </w:r>
      <w:r w:rsidR="004330DD" w:rsidRPr="004330DD">
        <w:t xml:space="preserve"> p. 8316</w:t>
      </w:r>
    </w:p>
    <w:p w14:paraId="034CD263" w14:textId="43C69F16"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F4269BE" w14:textId="3EEF8D79" w:rsidR="007E1F47" w:rsidRPr="00E3229F" w:rsidRDefault="00E3229F" w:rsidP="00E3229F">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235330">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4BF4D7D5" w14:textId="182E6BE0" w:rsidR="00BD7137" w:rsidRPr="00DB4F9A" w:rsidRDefault="00DB4F9A" w:rsidP="00235330">
      <w:pPr>
        <w:spacing w:before="120" w:after="0" w:line="240" w:lineRule="auto"/>
        <w:rPr>
          <w:rFonts w:cs="Times"/>
          <w:color w:val="003300"/>
          <w:szCs w:val="24"/>
          <w:u w:val="single"/>
        </w:rPr>
      </w:pPr>
      <w:r>
        <w:rPr>
          <w:color w:val="003300"/>
        </w:rPr>
        <w:t>Rien à signaler</w:t>
      </w:r>
    </w:p>
    <w:p w14:paraId="5380879D" w14:textId="77777777" w:rsidR="006E12CD" w:rsidRDefault="006E12CD" w:rsidP="00BD7137">
      <w:pPr>
        <w:keepNext/>
        <w:spacing w:before="120" w:after="0" w:line="240" w:lineRule="auto"/>
        <w:rPr>
          <w:color w:val="003300"/>
        </w:rPr>
      </w:pPr>
    </w:p>
    <w:p w14:paraId="20C76B2E" w14:textId="3C1CB255"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0CFE888A" w14:textId="4D3BBC4A" w:rsidR="003C0719" w:rsidRPr="00235330" w:rsidRDefault="00235330" w:rsidP="00484256">
      <w:pPr>
        <w:keepNext/>
        <w:spacing w:before="120" w:after="0" w:line="240" w:lineRule="auto"/>
        <w:rPr>
          <w:rFonts w:cs="Times"/>
          <w:color w:val="003300"/>
          <w:szCs w:val="24"/>
          <w:u w:val="single"/>
        </w:rPr>
      </w:pPr>
      <w:r>
        <w:rPr>
          <w:color w:val="003300"/>
        </w:rPr>
        <w:t>Rien à signaler</w:t>
      </w:r>
    </w:p>
    <w:p w14:paraId="1E12E0B0" w14:textId="0272E66D"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39BD94C9" w14:textId="35C515A9" w:rsidR="00404D35" w:rsidRDefault="00404D35" w:rsidP="00404D35">
      <w:pPr>
        <w:keepNext/>
        <w:spacing w:before="120" w:after="0" w:line="240" w:lineRule="auto"/>
        <w:rPr>
          <w:color w:val="003300"/>
        </w:rPr>
      </w:pPr>
      <w:r w:rsidRPr="00404D35">
        <w:rPr>
          <w:color w:val="003300"/>
          <w:u w:val="single"/>
        </w:rPr>
        <w:t>Les OPCI</w:t>
      </w:r>
      <w:r>
        <w:rPr>
          <w:color w:val="003300"/>
        </w:rPr>
        <w:t xml:space="preserve"> – les comptes annuels.</w:t>
      </w:r>
    </w:p>
    <w:p w14:paraId="64DCD0A1" w14:textId="44B7F10C" w:rsidR="00404D35" w:rsidRPr="00404D35" w:rsidRDefault="0022626E" w:rsidP="00404D35">
      <w:pPr>
        <w:keepNext/>
        <w:spacing w:before="120" w:after="0" w:line="240" w:lineRule="auto"/>
        <w:ind w:left="567"/>
        <w:rPr>
          <w:rFonts w:ascii="Times New Roman" w:hAnsi="Times New Roman"/>
          <w:color w:val="003300"/>
          <w:sz w:val="22"/>
          <w:szCs w:val="22"/>
          <w:u w:val="single"/>
        </w:rPr>
      </w:pPr>
      <w:hyperlink r:id="rId11" w:tgtFrame="_blank" w:tooltip="R2021_09" w:history="1">
        <w:r w:rsidR="00404D35" w:rsidRPr="00404D35">
          <w:rPr>
            <w:rStyle w:val="Lienhypertexte"/>
            <w:rFonts w:ascii="Times New Roman" w:hAnsi="Times New Roman"/>
            <w:color w:val="00486D"/>
            <w:sz w:val="22"/>
            <w:szCs w:val="22"/>
            <w:shd w:val="clear" w:color="auto" w:fill="FFFFFF"/>
          </w:rPr>
          <w:t>Règlement N° 2021-09 du 5 novembre 2021 relatif aux comptes annuels des organismes de placement collectif immobilier,</w:t>
        </w:r>
      </w:hyperlink>
      <w:r w:rsidR="00404D35" w:rsidRPr="00404D35">
        <w:rPr>
          <w:rFonts w:ascii="Times New Roman" w:hAnsi="Times New Roman"/>
          <w:color w:val="232B3A"/>
          <w:sz w:val="22"/>
          <w:szCs w:val="22"/>
          <w:shd w:val="clear" w:color="auto" w:fill="FFFFFF"/>
        </w:rPr>
        <w:t> applicable à compter du 1er octobre 2023 + (</w:t>
      </w:r>
      <w:hyperlink r:id="rId12" w:tgtFrame="_blank" w:tooltip="R2021_09_Recueil" w:history="1">
        <w:r w:rsidR="00404D35" w:rsidRPr="00404D35">
          <w:rPr>
            <w:rStyle w:val="lev"/>
            <w:rFonts w:ascii="Times New Roman" w:hAnsi="Times New Roman"/>
            <w:color w:val="00486D"/>
            <w:sz w:val="22"/>
            <w:szCs w:val="22"/>
            <w:shd w:val="clear" w:color="auto" w:fill="FFFFFF"/>
          </w:rPr>
          <w:t>Version recueil</w:t>
        </w:r>
      </w:hyperlink>
      <w:r w:rsidR="00404D35" w:rsidRPr="00404D35">
        <w:rPr>
          <w:rFonts w:ascii="Times New Roman" w:hAnsi="Times New Roman"/>
          <w:color w:val="232B3A"/>
          <w:sz w:val="22"/>
          <w:szCs w:val="22"/>
          <w:shd w:val="clear" w:color="auto" w:fill="FFFFFF"/>
        </w:rPr>
        <w:t>)</w:t>
      </w:r>
    </w:p>
    <w:p w14:paraId="03D9A39D" w14:textId="7D2153B1" w:rsidR="00235330" w:rsidRDefault="00404D35" w:rsidP="00404D35">
      <w:pPr>
        <w:spacing w:before="120" w:after="0" w:line="240" w:lineRule="auto"/>
        <w:rPr>
          <w:color w:val="003300"/>
          <w:u w:val="single"/>
        </w:rPr>
      </w:pPr>
      <w:r>
        <w:rPr>
          <w:color w:val="003300"/>
          <w:u w:val="single"/>
        </w:rPr>
        <w:t xml:space="preserve">Les engagements de retraite </w:t>
      </w:r>
      <w:r w:rsidRPr="00404D35">
        <w:rPr>
          <w:color w:val="003300"/>
        </w:rPr>
        <w:t>– Des mises à jour sur la façon de les calculer et de les comptabiliser.</w:t>
      </w:r>
    </w:p>
    <w:p w14:paraId="5C549B45" w14:textId="77777777" w:rsidR="00404D35" w:rsidRPr="00404D35" w:rsidRDefault="0022626E" w:rsidP="00404D35">
      <w:pPr>
        <w:pStyle w:val="Titre4"/>
        <w:shd w:val="clear" w:color="auto" w:fill="FFFFFF"/>
        <w:spacing w:before="0" w:after="0" w:line="240" w:lineRule="atLeast"/>
        <w:ind w:left="567"/>
        <w:rPr>
          <w:rFonts w:ascii="Times New Roman" w:hAnsi="Times New Roman"/>
          <w:b w:val="0"/>
          <w:bCs w:val="0"/>
          <w:color w:val="0000FF"/>
          <w:sz w:val="22"/>
          <w:szCs w:val="22"/>
        </w:rPr>
      </w:pPr>
      <w:hyperlink r:id="rId13" w:history="1">
        <w:r w:rsidR="00404D35" w:rsidRPr="00404D35">
          <w:rPr>
            <w:rStyle w:val="Lienhypertexte"/>
            <w:rFonts w:ascii="Times New Roman" w:hAnsi="Times New Roman"/>
            <w:b w:val="0"/>
            <w:bCs w:val="0"/>
            <w:sz w:val="22"/>
            <w:szCs w:val="22"/>
          </w:rPr>
          <w:t>Le Collège de l’ANC met à jour sa Recommandation n° 2013-02 du 7 novembre 2013 relative aux règles d'évaluation et de comptabilisation des engagements de retraite et avantages similaires pour les comptes annuels et les comptes consolidés établis selon les normes comptables françaises</w:t>
        </w:r>
      </w:hyperlink>
    </w:p>
    <w:p w14:paraId="1C3006DB" w14:textId="7983BA27" w:rsidR="00404D35" w:rsidRPr="006F649E" w:rsidRDefault="00404D35" w:rsidP="00235330">
      <w:pPr>
        <w:spacing w:before="120" w:after="0" w:line="240" w:lineRule="auto"/>
        <w:rPr>
          <w:b/>
          <w:bCs/>
        </w:rPr>
      </w:pPr>
    </w:p>
    <w:p w14:paraId="077EA3B3" w14:textId="1057619F"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7C4790E3" w14:textId="3D8303DE" w:rsidR="003A1B8D" w:rsidRDefault="003A1B8D" w:rsidP="003A1B8D">
      <w:pPr>
        <w:spacing w:before="120" w:after="0" w:line="240" w:lineRule="auto"/>
        <w:rPr>
          <w:color w:val="003300"/>
        </w:rPr>
      </w:pPr>
      <w:r w:rsidRPr="003A1B8D">
        <w:rPr>
          <w:color w:val="003300"/>
          <w:u w:val="single"/>
        </w:rPr>
        <w:t>Marchés et concessions :</w:t>
      </w:r>
      <w:r>
        <w:rPr>
          <w:color w:val="003300"/>
        </w:rPr>
        <w:t xml:space="preserve"> les nouveaux seuils, sans grand changement.</w:t>
      </w:r>
    </w:p>
    <w:tbl>
      <w:tblPr>
        <w:tblW w:w="9025"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5662"/>
        <w:gridCol w:w="1674"/>
        <w:gridCol w:w="1689"/>
      </w:tblGrid>
      <w:tr w:rsidR="003A1B8D" w:rsidRPr="003A1B8D" w14:paraId="13B1226F" w14:textId="77777777" w:rsidTr="003A1B8D">
        <w:trPr>
          <w:cantSplit/>
          <w:trHeight w:val="113"/>
          <w:tblCellSpacing w:w="15" w:type="dxa"/>
        </w:trPr>
        <w:tc>
          <w:tcPr>
            <w:tcW w:w="56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771C" w14:textId="77777777" w:rsidR="003A1B8D" w:rsidRPr="003A1B8D" w:rsidRDefault="003A1B8D" w:rsidP="003A1B8D">
            <w:pPr>
              <w:spacing w:before="0" w:after="0" w:line="240" w:lineRule="auto"/>
              <w:jc w:val="center"/>
              <w:rPr>
                <w:rFonts w:eastAsia="Times New Roman" w:cs="Times"/>
                <w:color w:val="989A9C"/>
                <w:sz w:val="23"/>
                <w:szCs w:val="23"/>
              </w:rPr>
            </w:pPr>
            <w:r w:rsidRPr="003A1B8D">
              <w:rPr>
                <w:rFonts w:eastAsia="Times New Roman" w:cs="Times"/>
                <w:color w:val="4A4A49"/>
                <w:szCs w:val="24"/>
              </w:rPr>
              <w:lastRenderedPageBreak/>
              <w:t>Seuils de procédure formalisée applicables aux marchés publics et contrats de concession</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D2DAF" w14:textId="0012662B" w:rsidR="003A1B8D" w:rsidRPr="003A1B8D" w:rsidRDefault="003A1B8D" w:rsidP="003A1B8D">
            <w:pPr>
              <w:spacing w:before="0" w:after="0" w:line="240" w:lineRule="auto"/>
              <w:jc w:val="center"/>
              <w:rPr>
                <w:rFonts w:eastAsia="Times New Roman" w:cs="Times"/>
                <w:color w:val="989A9C"/>
                <w:sz w:val="23"/>
                <w:szCs w:val="23"/>
              </w:rPr>
            </w:pPr>
            <w:r w:rsidRPr="003A1B8D">
              <w:rPr>
                <w:rFonts w:eastAsia="Times New Roman" w:cs="Times"/>
                <w:color w:val="4A4A49"/>
                <w:szCs w:val="24"/>
              </w:rPr>
              <w:t>2020-2021</w:t>
            </w:r>
          </w:p>
          <w:p w14:paraId="694E7B79" w14:textId="5CE62948" w:rsidR="003A1B8D" w:rsidRPr="003A1B8D" w:rsidRDefault="003A1B8D" w:rsidP="003A1B8D">
            <w:pPr>
              <w:spacing w:before="0" w:after="0" w:line="240" w:lineRule="auto"/>
              <w:jc w:val="center"/>
              <w:rPr>
                <w:rFonts w:eastAsia="Times New Roman" w:cs="Times"/>
                <w:color w:val="989A9C"/>
                <w:sz w:val="23"/>
                <w:szCs w:val="23"/>
              </w:rPr>
            </w:pP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3B630" w14:textId="04CA88B3" w:rsidR="003A1B8D" w:rsidRPr="003A1B8D" w:rsidRDefault="003A1B8D" w:rsidP="003A1B8D">
            <w:pPr>
              <w:spacing w:before="0" w:after="0" w:line="240" w:lineRule="auto"/>
              <w:jc w:val="center"/>
              <w:rPr>
                <w:rFonts w:eastAsia="Times New Roman" w:cs="Times"/>
                <w:color w:val="989A9C"/>
                <w:sz w:val="23"/>
                <w:szCs w:val="23"/>
              </w:rPr>
            </w:pPr>
            <w:r w:rsidRPr="003A1B8D">
              <w:rPr>
                <w:rFonts w:eastAsia="Times New Roman" w:cs="Times"/>
                <w:color w:val="4A4A49"/>
                <w:szCs w:val="24"/>
              </w:rPr>
              <w:t>2022-2023</w:t>
            </w:r>
          </w:p>
          <w:p w14:paraId="74D1121F" w14:textId="68EAFE76" w:rsidR="003A1B8D" w:rsidRPr="003A1B8D" w:rsidRDefault="003A1B8D" w:rsidP="003A1B8D">
            <w:pPr>
              <w:spacing w:before="0" w:after="0" w:line="240" w:lineRule="auto"/>
              <w:jc w:val="center"/>
              <w:rPr>
                <w:rFonts w:eastAsia="Times New Roman" w:cs="Times"/>
                <w:color w:val="989A9C"/>
                <w:sz w:val="23"/>
                <w:szCs w:val="23"/>
              </w:rPr>
            </w:pPr>
          </w:p>
        </w:tc>
      </w:tr>
      <w:tr w:rsidR="003A1B8D" w:rsidRPr="003A1B8D" w14:paraId="43A6BBE5" w14:textId="77777777" w:rsidTr="003A1B8D">
        <w:trPr>
          <w:cantSplit/>
          <w:trHeight w:val="113"/>
          <w:tblCellSpacing w:w="15" w:type="dxa"/>
        </w:trPr>
        <w:tc>
          <w:tcPr>
            <w:tcW w:w="56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2A769" w14:textId="77777777" w:rsidR="003A1B8D" w:rsidRPr="003A1B8D" w:rsidRDefault="003A1B8D" w:rsidP="003A1B8D">
            <w:pPr>
              <w:spacing w:before="0" w:after="0" w:line="240" w:lineRule="auto"/>
              <w:rPr>
                <w:rFonts w:eastAsia="Times New Roman" w:cs="Times"/>
                <w:color w:val="989A9C"/>
                <w:sz w:val="23"/>
                <w:szCs w:val="23"/>
              </w:rPr>
            </w:pPr>
            <w:r w:rsidRPr="003A1B8D">
              <w:rPr>
                <w:rFonts w:eastAsia="Times New Roman" w:cs="Times"/>
                <w:color w:val="4A4A49"/>
                <w:szCs w:val="24"/>
              </w:rPr>
              <w:t>Marchés de fournitures et services des pouvoirs adjudicateurs centraux</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2BA0"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139.000 €</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9A13"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 140.000 €</w:t>
            </w:r>
          </w:p>
        </w:tc>
      </w:tr>
      <w:tr w:rsidR="003A1B8D" w:rsidRPr="003A1B8D" w14:paraId="2E92F494" w14:textId="77777777" w:rsidTr="003A1B8D">
        <w:trPr>
          <w:cantSplit/>
          <w:trHeight w:val="113"/>
          <w:tblCellSpacing w:w="15" w:type="dxa"/>
        </w:trPr>
        <w:tc>
          <w:tcPr>
            <w:tcW w:w="56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316BB" w14:textId="77777777" w:rsidR="003A1B8D" w:rsidRPr="003A1B8D" w:rsidRDefault="003A1B8D" w:rsidP="003A1B8D">
            <w:pPr>
              <w:spacing w:before="0" w:after="0" w:line="240" w:lineRule="auto"/>
              <w:rPr>
                <w:rFonts w:eastAsia="Times New Roman" w:cs="Times"/>
                <w:color w:val="989A9C"/>
                <w:sz w:val="23"/>
                <w:szCs w:val="23"/>
              </w:rPr>
            </w:pPr>
            <w:r w:rsidRPr="003A1B8D">
              <w:rPr>
                <w:rFonts w:eastAsia="Times New Roman" w:cs="Times"/>
                <w:color w:val="4A4A49"/>
                <w:szCs w:val="24"/>
              </w:rPr>
              <w:t>Marchés de fournitures et services des autres pouvoirs adjudicateurs</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BFC45"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214.000 €</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9B21F"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 215.000 €</w:t>
            </w:r>
          </w:p>
        </w:tc>
      </w:tr>
      <w:tr w:rsidR="003A1B8D" w:rsidRPr="003A1B8D" w14:paraId="55D49542" w14:textId="77777777" w:rsidTr="003A1B8D">
        <w:trPr>
          <w:cantSplit/>
          <w:trHeight w:val="113"/>
          <w:tblCellSpacing w:w="15" w:type="dxa"/>
        </w:trPr>
        <w:tc>
          <w:tcPr>
            <w:tcW w:w="56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96C6" w14:textId="77777777" w:rsidR="003A1B8D" w:rsidRPr="003A1B8D" w:rsidRDefault="003A1B8D" w:rsidP="003A1B8D">
            <w:pPr>
              <w:spacing w:before="0" w:after="0" w:line="240" w:lineRule="auto"/>
              <w:rPr>
                <w:rFonts w:eastAsia="Times New Roman" w:cs="Times"/>
                <w:color w:val="989A9C"/>
                <w:sz w:val="23"/>
                <w:szCs w:val="23"/>
              </w:rPr>
            </w:pPr>
            <w:r w:rsidRPr="003A1B8D">
              <w:rPr>
                <w:rFonts w:eastAsia="Times New Roman" w:cs="Times"/>
                <w:color w:val="4A4A49"/>
                <w:szCs w:val="24"/>
              </w:rPr>
              <w:t>Marchés de fournitures et services des entités adjudicatrices et marchés de fournitures et services de défense ou de sécurité</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E0EEF" w14:textId="77777777" w:rsidR="003A1B8D" w:rsidRPr="003A1B8D" w:rsidRDefault="003A1B8D" w:rsidP="003A1B8D">
            <w:pPr>
              <w:spacing w:before="0" w:after="0" w:line="240" w:lineRule="auto"/>
              <w:jc w:val="right"/>
              <w:rPr>
                <w:rFonts w:eastAsia="Times New Roman" w:cs="Times"/>
                <w:color w:val="989A9C"/>
                <w:sz w:val="23"/>
                <w:szCs w:val="23"/>
              </w:rPr>
            </w:pPr>
            <w:r w:rsidRPr="003A1B8D">
              <w:rPr>
                <w:rFonts w:eastAsia="Times New Roman" w:cs="Times"/>
                <w:color w:val="4A4A49"/>
                <w:szCs w:val="24"/>
              </w:rPr>
              <w:t>428.000 €</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FBAF8"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  431.000 €</w:t>
            </w:r>
          </w:p>
        </w:tc>
      </w:tr>
      <w:tr w:rsidR="003A1B8D" w:rsidRPr="003A1B8D" w14:paraId="1CEE4D80" w14:textId="77777777" w:rsidTr="003A1B8D">
        <w:trPr>
          <w:cantSplit/>
          <w:trHeight w:val="113"/>
          <w:tblCellSpacing w:w="15" w:type="dxa"/>
        </w:trPr>
        <w:tc>
          <w:tcPr>
            <w:tcW w:w="56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EE4A9" w14:textId="77777777" w:rsidR="003A1B8D" w:rsidRPr="003A1B8D" w:rsidRDefault="003A1B8D" w:rsidP="003A1B8D">
            <w:pPr>
              <w:spacing w:before="0" w:after="0" w:line="240" w:lineRule="auto"/>
              <w:rPr>
                <w:rFonts w:eastAsia="Times New Roman" w:cs="Times"/>
                <w:color w:val="989A9C"/>
                <w:sz w:val="23"/>
                <w:szCs w:val="23"/>
              </w:rPr>
            </w:pPr>
            <w:r w:rsidRPr="003A1B8D">
              <w:rPr>
                <w:rFonts w:eastAsia="Times New Roman" w:cs="Times"/>
                <w:color w:val="4A4A49"/>
                <w:szCs w:val="24"/>
              </w:rPr>
              <w:t>Marchés de travaux et contrats de concessions</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6FF82"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5.350.000 €</w:t>
            </w:r>
          </w:p>
        </w:tc>
        <w:tc>
          <w:tcPr>
            <w:tcW w:w="16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50F72" w14:textId="77777777" w:rsidR="003A1B8D" w:rsidRPr="003A1B8D" w:rsidRDefault="003A1B8D" w:rsidP="003A1B8D">
            <w:pPr>
              <w:spacing w:before="0" w:after="0" w:line="240" w:lineRule="auto"/>
              <w:jc w:val="right"/>
              <w:rPr>
                <w:rFonts w:ascii="Tahoma" w:eastAsia="Times New Roman" w:hAnsi="Tahoma" w:cs="Tahoma"/>
                <w:color w:val="333333"/>
                <w:sz w:val="20"/>
              </w:rPr>
            </w:pPr>
            <w:r w:rsidRPr="003A1B8D">
              <w:rPr>
                <w:rFonts w:eastAsia="Times New Roman" w:cs="Times"/>
                <w:color w:val="4A4A49"/>
                <w:szCs w:val="24"/>
              </w:rPr>
              <w:t> 5.382.000 €</w:t>
            </w:r>
          </w:p>
        </w:tc>
      </w:tr>
    </w:tbl>
    <w:p w14:paraId="58E0B348" w14:textId="77777777" w:rsidR="003A1B8D" w:rsidRPr="003A1B8D" w:rsidRDefault="0022626E" w:rsidP="00D254AD">
      <w:pPr>
        <w:spacing w:before="120" w:after="0" w:line="240" w:lineRule="auto"/>
        <w:ind w:left="567"/>
        <w:rPr>
          <w:rFonts w:ascii="Times New Roman" w:hAnsi="Times New Roman"/>
          <w:color w:val="0000FF"/>
          <w:sz w:val="22"/>
          <w:szCs w:val="22"/>
        </w:rPr>
      </w:pPr>
      <w:hyperlink r:id="rId14" w:tgtFrame="_blank" w:history="1">
        <w:r w:rsidR="003A1B8D" w:rsidRPr="003A1B8D">
          <w:rPr>
            <w:rStyle w:val="Lienhypertexte"/>
            <w:rFonts w:ascii="Times New Roman" w:hAnsi="Times New Roman"/>
            <w:i/>
            <w:iCs/>
            <w:sz w:val="22"/>
            <w:szCs w:val="22"/>
          </w:rPr>
          <w:t>Règlement délégué (UE) 2021/1950 de la Commission du 10 novembre 2021 modifiant la directive 2009/81/CE du Parlement européen et du Conseil en ce qui concerne les seuils pour les marchés de fourniture, de services et de travaux (Texte présentant de l’intérêt pour l’EEE)</w:t>
        </w:r>
      </w:hyperlink>
    </w:p>
    <w:p w14:paraId="1DC17A0A" w14:textId="25FF9415" w:rsidR="003A1B8D" w:rsidRPr="003A1B8D" w:rsidRDefault="0022626E" w:rsidP="00D254AD">
      <w:pPr>
        <w:spacing w:before="120" w:after="0" w:line="240" w:lineRule="auto"/>
        <w:ind w:left="567"/>
        <w:rPr>
          <w:rFonts w:ascii="Times New Roman" w:eastAsia="Times New Roman" w:hAnsi="Times New Roman"/>
          <w:color w:val="0000FF"/>
          <w:sz w:val="22"/>
          <w:szCs w:val="22"/>
        </w:rPr>
      </w:pPr>
      <w:hyperlink r:id="rId15" w:history="1">
        <w:r w:rsidR="003A1B8D" w:rsidRPr="003A1B8D">
          <w:rPr>
            <w:rStyle w:val="Lienhypertexte"/>
            <w:rFonts w:ascii="Times New Roman" w:hAnsi="Times New Roman"/>
            <w:i/>
            <w:iCs/>
            <w:sz w:val="22"/>
            <w:szCs w:val="22"/>
          </w:rPr>
          <w:t>Règlement délégué (UE) 2021/1951 de la Commission du 10 novembre 2021 modifiant la directive 2014/23/UE du Parlement européen et du Conseil en ce qui concerne les seuils applicables pour les concessions (Texte présentant de l’intérêt pour l’EEE)</w:t>
        </w:r>
      </w:hyperlink>
    </w:p>
    <w:p w14:paraId="1ECB2126" w14:textId="77777777" w:rsidR="003A1B8D" w:rsidRPr="003A1B8D" w:rsidRDefault="0022626E" w:rsidP="00D254AD">
      <w:pPr>
        <w:pStyle w:val="NormalWeb"/>
        <w:shd w:val="clear" w:color="auto" w:fill="FFFFFF"/>
        <w:spacing w:before="120" w:after="0"/>
        <w:ind w:left="567"/>
        <w:jc w:val="both"/>
        <w:rPr>
          <w:color w:val="0000FF"/>
          <w:sz w:val="22"/>
          <w:szCs w:val="22"/>
        </w:rPr>
      </w:pPr>
      <w:hyperlink r:id="rId16" w:history="1">
        <w:r w:rsidR="003A1B8D" w:rsidRPr="003A1B8D">
          <w:rPr>
            <w:rStyle w:val="Lienhypertexte"/>
            <w:i/>
            <w:iCs/>
            <w:sz w:val="22"/>
            <w:szCs w:val="22"/>
          </w:rPr>
          <w:t>Règlement délégué (UE) 2021/1952 de la Commission du 10 novembre 2021 modifiant la directive 2014/24/UE du Parlement européen et du Conseil en ce qui concerne les seuils applicables pour les marchés publics de fourniture, de services et de travaux et pour les concours (Texte présentant de l’intérêt pour l’EEE)</w:t>
        </w:r>
      </w:hyperlink>
    </w:p>
    <w:p w14:paraId="448CD76E" w14:textId="31BC45B6" w:rsidR="003A1B8D" w:rsidRPr="003A1B8D" w:rsidRDefault="0022626E" w:rsidP="00DD31BD">
      <w:pPr>
        <w:pStyle w:val="NormalWeb"/>
        <w:shd w:val="clear" w:color="auto" w:fill="FFFFFF"/>
        <w:spacing w:before="120" w:after="0"/>
        <w:ind w:left="567"/>
        <w:jc w:val="both"/>
        <w:rPr>
          <w:color w:val="0000FF"/>
          <w:sz w:val="22"/>
          <w:szCs w:val="22"/>
        </w:rPr>
      </w:pPr>
      <w:hyperlink r:id="rId17" w:history="1">
        <w:r w:rsidR="003A1B8D" w:rsidRPr="003A1B8D">
          <w:rPr>
            <w:rStyle w:val="Lienhypertexte"/>
            <w:i/>
            <w:iCs/>
            <w:sz w:val="22"/>
            <w:szCs w:val="22"/>
          </w:rPr>
          <w:t>Règlement délégué (UE) 2021/1953 de la Commission du 10 novembre 2021 modifiant la directive 2014/25/UE du Parlement européen et du Conseil en ce qui concerne les seuils applicables pour les marchés de fournitures, de services et de travaux et pour les concours (Texte présentant de l’intérêt pour l’EEE)</w:t>
        </w:r>
      </w:hyperlink>
    </w:p>
    <w:p w14:paraId="1B8C3D16" w14:textId="75877650" w:rsidR="00045B52" w:rsidRDefault="00045B52" w:rsidP="00DD31BD">
      <w:pPr>
        <w:spacing w:before="120" w:after="0" w:line="240" w:lineRule="auto"/>
        <w:rPr>
          <w:color w:val="003300"/>
        </w:rPr>
      </w:pPr>
      <w:r>
        <w:rPr>
          <w:color w:val="003300"/>
          <w:u w:val="single"/>
        </w:rPr>
        <w:t>Difficultés des entreprises</w:t>
      </w:r>
      <w:r w:rsidRPr="003A1B8D">
        <w:rPr>
          <w:color w:val="003300"/>
          <w:u w:val="single"/>
        </w:rPr>
        <w:t> </w:t>
      </w:r>
      <w:r>
        <w:rPr>
          <w:color w:val="003300"/>
          <w:u w:val="single"/>
        </w:rPr>
        <w:t>–</w:t>
      </w:r>
      <w:r>
        <w:rPr>
          <w:color w:val="003300"/>
        </w:rPr>
        <w:t xml:space="preserve"> Une réforme des procédures de prévention et de traitement de ces difficultés.</w:t>
      </w:r>
    </w:p>
    <w:p w14:paraId="79753C3D" w14:textId="35B8993A" w:rsidR="00045B52" w:rsidRPr="00045B52" w:rsidRDefault="0022626E" w:rsidP="00DD31BD">
      <w:pPr>
        <w:spacing w:before="120" w:after="0" w:line="240" w:lineRule="auto"/>
        <w:ind w:left="567"/>
        <w:rPr>
          <w:color w:val="003300"/>
        </w:rPr>
      </w:pPr>
      <w:hyperlink r:id="rId18" w:history="1">
        <w:r w:rsidR="00045B52" w:rsidRPr="008E149A">
          <w:rPr>
            <w:rStyle w:val="Lienhypertexte"/>
          </w:rPr>
          <w:t>Ordonnance 2021-1193</w:t>
        </w:r>
      </w:hyperlink>
      <w:r w:rsidR="00045B52" w:rsidRPr="00045B52">
        <w:rPr>
          <w:color w:val="003300"/>
        </w:rPr>
        <w:t xml:space="preserve"> du 15-9-2021 </w:t>
      </w:r>
    </w:p>
    <w:p w14:paraId="68D2CA7B" w14:textId="7871D284" w:rsidR="00045B52" w:rsidRDefault="0022626E" w:rsidP="00DD31BD">
      <w:pPr>
        <w:spacing w:before="120" w:after="0" w:line="240" w:lineRule="auto"/>
        <w:ind w:left="567"/>
        <w:rPr>
          <w:color w:val="003300"/>
        </w:rPr>
      </w:pPr>
      <w:hyperlink r:id="rId19" w:history="1">
        <w:r w:rsidR="00045B52" w:rsidRPr="008E149A">
          <w:rPr>
            <w:rStyle w:val="Lienhypertexte"/>
          </w:rPr>
          <w:t>Décret 2021-1218</w:t>
        </w:r>
      </w:hyperlink>
      <w:r w:rsidR="00045B52" w:rsidRPr="00045B52">
        <w:rPr>
          <w:color w:val="003300"/>
        </w:rPr>
        <w:t xml:space="preserve"> du 23-9-2021 </w:t>
      </w:r>
    </w:p>
    <w:p w14:paraId="14C970CC" w14:textId="3FAEEC3C" w:rsidR="003A1B8D" w:rsidRDefault="00A17C32" w:rsidP="00DD31BD">
      <w:pPr>
        <w:spacing w:before="120" w:after="0" w:line="240" w:lineRule="auto"/>
        <w:rPr>
          <w:color w:val="003300"/>
          <w:u w:val="single"/>
        </w:rPr>
      </w:pPr>
      <w:r>
        <w:rPr>
          <w:color w:val="003300"/>
          <w:u w:val="single"/>
        </w:rPr>
        <w:t>Contrôle des agents immobiliers</w:t>
      </w:r>
      <w:r w:rsidRPr="003A1B8D">
        <w:rPr>
          <w:color w:val="003300"/>
          <w:u w:val="single"/>
        </w:rPr>
        <w:t> </w:t>
      </w:r>
      <w:r>
        <w:rPr>
          <w:color w:val="003300"/>
          <w:u w:val="single"/>
        </w:rPr>
        <w:t>–</w:t>
      </w:r>
      <w:r>
        <w:rPr>
          <w:color w:val="003300"/>
        </w:rPr>
        <w:t xml:space="preserve"> Précisions sur le contrôle des garants : il doit être fait par des personnes compétentes.</w:t>
      </w:r>
    </w:p>
    <w:p w14:paraId="248BFB1C" w14:textId="271E2229" w:rsidR="00A17C32" w:rsidRPr="00A17C32" w:rsidRDefault="0022626E" w:rsidP="00B6031B">
      <w:pPr>
        <w:spacing w:before="120" w:after="0" w:line="240" w:lineRule="auto"/>
        <w:ind w:left="567"/>
      </w:pPr>
      <w:hyperlink r:id="rId20" w:history="1">
        <w:r w:rsidR="00A17C32" w:rsidRPr="00A17C32">
          <w:rPr>
            <w:rStyle w:val="Lienhypertexte"/>
          </w:rPr>
          <w:t>Décret n° 2021-1420</w:t>
        </w:r>
      </w:hyperlink>
      <w:r w:rsidR="00A17C32" w:rsidRPr="00A17C32">
        <w:t xml:space="preserve"> du 29 octobre 2021 relatif aux procédures et conditions dans lesquelles les garants financiers exercent leurs missions de contrôle sur les fonds des professionnels de l'immobilier</w:t>
      </w:r>
    </w:p>
    <w:p w14:paraId="17D13BC7" w14:textId="2D0B1900" w:rsidR="00E935A2" w:rsidRDefault="00AB002C" w:rsidP="00B6031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37257D45" w14:textId="05B7FD00" w:rsidR="001E5D0A" w:rsidRDefault="00C26BCE" w:rsidP="00B6031B">
      <w:pPr>
        <w:spacing w:before="120" w:after="0" w:line="240" w:lineRule="auto"/>
        <w:rPr>
          <w:color w:val="003300"/>
        </w:rPr>
      </w:pPr>
      <w:r>
        <w:rPr>
          <w:color w:val="003300"/>
          <w:u w:val="single"/>
        </w:rPr>
        <w:t xml:space="preserve">Option TVA pour les locations – </w:t>
      </w:r>
      <w:r>
        <w:rPr>
          <w:color w:val="003300"/>
        </w:rPr>
        <w:t>L’on a bien affaire à une option qui peut s’exercer lot par lot dans le même immeuble.</w:t>
      </w:r>
    </w:p>
    <w:p w14:paraId="7E719188" w14:textId="7CA94184" w:rsidR="00C26BCE" w:rsidRPr="00C26BCE" w:rsidRDefault="0022626E" w:rsidP="00B6031B">
      <w:pPr>
        <w:spacing w:before="120" w:after="0" w:line="240" w:lineRule="auto"/>
        <w:ind w:left="567"/>
        <w:rPr>
          <w:color w:val="003300"/>
        </w:rPr>
      </w:pPr>
      <w:hyperlink r:id="rId21" w:history="1">
        <w:r w:rsidR="00C26BCE" w:rsidRPr="00C26BCE">
          <w:rPr>
            <w:rStyle w:val="Lienhypertexte"/>
          </w:rPr>
          <w:t>Réponse Gran n° 38389</w:t>
        </w:r>
      </w:hyperlink>
      <w:r w:rsidR="00C26BCE">
        <w:rPr>
          <w:color w:val="003300"/>
        </w:rPr>
        <w:t>, JOAN 16/11/2021 p. 8310</w:t>
      </w:r>
    </w:p>
    <w:p w14:paraId="03ADCBA9" w14:textId="4C9CB24E" w:rsidR="00DD31BD" w:rsidRDefault="00DD31BD" w:rsidP="00B6031B">
      <w:pPr>
        <w:spacing w:before="120" w:after="0" w:line="240" w:lineRule="auto"/>
        <w:rPr>
          <w:rFonts w:cs="Times"/>
          <w:b/>
          <w:szCs w:val="24"/>
        </w:rPr>
      </w:pPr>
      <w:r>
        <w:rPr>
          <w:color w:val="003300"/>
          <w:u w:val="single"/>
        </w:rPr>
        <w:lastRenderedPageBreak/>
        <w:t xml:space="preserve">TH et logement social – </w:t>
      </w:r>
      <w:r>
        <w:rPr>
          <w:color w:val="003300"/>
        </w:rPr>
        <w:t>La compensation de l’Etat ne couvre pas les nouveaux logement sociaux.</w:t>
      </w:r>
      <w:r w:rsidRPr="006320BB">
        <w:rPr>
          <w:rFonts w:cs="Times"/>
          <w:b/>
          <w:szCs w:val="24"/>
        </w:rPr>
        <w:t xml:space="preserve"> </w:t>
      </w:r>
    </w:p>
    <w:p w14:paraId="44300DF1" w14:textId="1B21842C" w:rsidR="00DD31BD" w:rsidRPr="00DD31BD" w:rsidRDefault="0022626E" w:rsidP="00B6031B">
      <w:pPr>
        <w:spacing w:before="120" w:after="0" w:line="240" w:lineRule="auto"/>
        <w:ind w:left="567"/>
        <w:rPr>
          <w:rFonts w:cs="Times"/>
          <w:bCs/>
          <w:szCs w:val="24"/>
        </w:rPr>
      </w:pPr>
      <w:hyperlink r:id="rId22" w:history="1">
        <w:r w:rsidR="00DD31BD" w:rsidRPr="00DD31BD">
          <w:rPr>
            <w:rStyle w:val="Lienhypertexte"/>
            <w:rFonts w:cs="Times"/>
            <w:bCs/>
            <w:szCs w:val="24"/>
          </w:rPr>
          <w:t xml:space="preserve">Réponse </w:t>
        </w:r>
        <w:proofErr w:type="spellStart"/>
        <w:r w:rsidR="00DD31BD" w:rsidRPr="00DD31BD">
          <w:rPr>
            <w:rStyle w:val="Lienhypertexte"/>
            <w:rFonts w:cs="Times"/>
            <w:bCs/>
            <w:szCs w:val="24"/>
          </w:rPr>
          <w:t>Gillé</w:t>
        </w:r>
        <w:proofErr w:type="spellEnd"/>
        <w:r w:rsidR="00DD31BD" w:rsidRPr="00DD31BD">
          <w:rPr>
            <w:rStyle w:val="Lienhypertexte"/>
            <w:rFonts w:cs="Times"/>
            <w:bCs/>
            <w:szCs w:val="24"/>
          </w:rPr>
          <w:t xml:space="preserve"> n° 19671</w:t>
        </w:r>
      </w:hyperlink>
      <w:r w:rsidR="00DD31BD" w:rsidRPr="00DD31BD">
        <w:rPr>
          <w:rFonts w:cs="Times"/>
          <w:bCs/>
          <w:szCs w:val="24"/>
        </w:rPr>
        <w:t xml:space="preserve"> JO Sénat 11/11/2021 p. 6346</w:t>
      </w:r>
    </w:p>
    <w:p w14:paraId="7D92344F" w14:textId="3D6AC5B9" w:rsidR="00331173" w:rsidRDefault="00331173" w:rsidP="00B6031B">
      <w:pPr>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20AAC880" w14:textId="12B4EF71" w:rsidR="001E5D0A" w:rsidRDefault="00CD539F" w:rsidP="00B6031B">
      <w:pPr>
        <w:spacing w:before="120" w:after="0" w:line="240" w:lineRule="auto"/>
        <w:rPr>
          <w:color w:val="003300"/>
          <w:u w:val="single"/>
        </w:rPr>
      </w:pPr>
      <w:r>
        <w:rPr>
          <w:color w:val="003300"/>
          <w:u w:val="single"/>
        </w:rPr>
        <w:t xml:space="preserve">Domanialité publique </w:t>
      </w:r>
      <w:r w:rsidRPr="00CD539F">
        <w:rPr>
          <w:color w:val="003300"/>
        </w:rPr>
        <w:t>– Possibilité de maintenir sur le domaine public une servitude, si elle préexistait au classement dans le domaine public.</w:t>
      </w:r>
    </w:p>
    <w:p w14:paraId="10B8C535" w14:textId="3871913A" w:rsidR="00CD539F" w:rsidRPr="00CD539F" w:rsidRDefault="0022626E" w:rsidP="00B6031B">
      <w:pPr>
        <w:spacing w:before="120" w:after="0" w:line="240" w:lineRule="auto"/>
        <w:ind w:left="567"/>
        <w:rPr>
          <w:color w:val="003300"/>
        </w:rPr>
      </w:pPr>
      <w:hyperlink r:id="rId23" w:history="1">
        <w:r w:rsidR="00CD539F" w:rsidRPr="00CD539F">
          <w:rPr>
            <w:rStyle w:val="Lienhypertexte"/>
          </w:rPr>
          <w:t xml:space="preserve">T. </w:t>
        </w:r>
        <w:proofErr w:type="spellStart"/>
        <w:r w:rsidR="00CD539F" w:rsidRPr="00CD539F">
          <w:rPr>
            <w:rStyle w:val="Lienhypertexte"/>
          </w:rPr>
          <w:t>confl</w:t>
        </w:r>
        <w:proofErr w:type="spellEnd"/>
        <w:r w:rsidR="00CD539F" w:rsidRPr="00CD539F">
          <w:rPr>
            <w:rStyle w:val="Lienhypertexte"/>
          </w:rPr>
          <w:t>. 5-7-2021 n° 4218</w:t>
        </w:r>
      </w:hyperlink>
      <w:r w:rsidR="00CD539F" w:rsidRPr="00CD539F">
        <w:t xml:space="preserve">, SCI LMG c/ </w:t>
      </w:r>
      <w:proofErr w:type="spellStart"/>
      <w:r w:rsidR="00CD539F" w:rsidRPr="00CD539F">
        <w:t>Cne</w:t>
      </w:r>
      <w:proofErr w:type="spellEnd"/>
      <w:r w:rsidR="00CD539F" w:rsidRPr="00CD539F">
        <w:t xml:space="preserve"> d’Evecquemont</w:t>
      </w:r>
    </w:p>
    <w:p w14:paraId="24D1A5D0" w14:textId="34439B55" w:rsidR="005A17CC" w:rsidRPr="00142627" w:rsidRDefault="001F3614" w:rsidP="00B6031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BF98B66" w14:textId="77777777" w:rsidR="006F649E" w:rsidRPr="00235330" w:rsidRDefault="006F649E" w:rsidP="006F649E">
      <w:pPr>
        <w:keepNext/>
        <w:spacing w:before="120" w:after="0" w:line="240" w:lineRule="auto"/>
        <w:rPr>
          <w:rFonts w:cs="Times"/>
          <w:color w:val="003300"/>
          <w:szCs w:val="24"/>
          <w:u w:val="single"/>
        </w:rPr>
      </w:pPr>
      <w:r>
        <w:rPr>
          <w:color w:val="003300"/>
        </w:rPr>
        <w:t>Rien à signaler</w:t>
      </w:r>
    </w:p>
    <w:p w14:paraId="249E70FC" w14:textId="77777777" w:rsidR="001E5D0A" w:rsidRDefault="001E5D0A">
      <w:pPr>
        <w:spacing w:before="0" w:after="0" w:line="240" w:lineRule="auto"/>
        <w:jc w:val="left"/>
      </w:pPr>
    </w:p>
    <w:p w14:paraId="6E1B19DF" w14:textId="710D5264" w:rsidR="00142627" w:rsidRDefault="00142627">
      <w:pPr>
        <w:spacing w:before="0" w:after="0" w:line="240" w:lineRule="auto"/>
        <w:jc w:val="left"/>
      </w:pPr>
      <w:r>
        <w:br w:type="page"/>
      </w:r>
    </w:p>
    <w:p w14:paraId="2649CADA" w14:textId="6D61491D"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483EC802" w14:textId="19229E41" w:rsidR="001E5D0A" w:rsidRDefault="001E5D0A" w:rsidP="001E5D0A">
      <w:pPr>
        <w:spacing w:before="120" w:after="120" w:line="240" w:lineRule="auto"/>
        <w:rPr>
          <w:rFonts w:ascii="Times New Roman" w:hAnsi="Times New Roman"/>
          <w:b/>
          <w:szCs w:val="24"/>
        </w:rPr>
      </w:pPr>
    </w:p>
    <w:p w14:paraId="2935B78E" w14:textId="77777777" w:rsidR="00B91815" w:rsidRDefault="0022626E" w:rsidP="00B91815">
      <w:pPr>
        <w:pStyle w:val="NormalWeb"/>
        <w:shd w:val="clear" w:color="auto" w:fill="FFFFFF"/>
        <w:spacing w:before="0" w:after="150"/>
        <w:jc w:val="both"/>
        <w:rPr>
          <w:rFonts w:ascii="Arial" w:hAnsi="Arial" w:cs="Arial"/>
          <w:color w:val="333333"/>
          <w:sz w:val="21"/>
          <w:szCs w:val="21"/>
        </w:rPr>
      </w:pPr>
      <w:hyperlink r:id="rId24" w:tooltip="17/11/2021 : CF - Transmission d’un document de synthèse des contestations par les entreprises au service vérificateur lors de la saisine du comité consultatif du crédit d'impôt pour dépenses de recherche (décret n° 2021-2 du 4 janvier 2021 modifiant les modal" w:history="1">
        <w:r w:rsidR="00B91815">
          <w:rPr>
            <w:rStyle w:val="Lienhypertexte"/>
            <w:rFonts w:ascii="Arial" w:hAnsi="Arial" w:cs="Arial"/>
            <w:sz w:val="21"/>
            <w:szCs w:val="21"/>
          </w:rPr>
          <w:t>17/11/2021 : CF - Transmission d’un document de synthèse des contestations par les entreprises au service vérificateur lors de la saisine du comité consultatif du crédit d'impôt pour dépenses de recherche (décret n° 2021-2 du 4 janvier 2021 modifiant les modalités d'échanges d'informations entre administrations chargées du contrôle du crédit d'impôt pour dépenses de recherche et améliorant le fonctionnement du comité consultatif du crédit d'impôt pour dépenses de recherche)</w:t>
        </w:r>
      </w:hyperlink>
    </w:p>
    <w:p w14:paraId="0CCF9217" w14:textId="77777777" w:rsidR="00B91815" w:rsidRDefault="0022626E" w:rsidP="00B91815">
      <w:pPr>
        <w:pStyle w:val="NormalWeb"/>
        <w:shd w:val="clear" w:color="auto" w:fill="FFFFFF"/>
        <w:spacing w:before="0" w:after="150"/>
        <w:jc w:val="both"/>
        <w:rPr>
          <w:rFonts w:ascii="Arial" w:hAnsi="Arial" w:cs="Arial"/>
          <w:color w:val="333333"/>
          <w:sz w:val="21"/>
          <w:szCs w:val="21"/>
        </w:rPr>
      </w:pPr>
      <w:hyperlink r:id="rId25" w:tooltip="03/11/2021 : BIC - Actualisation du taux maximum des intérêts admis en déduction d'un point de vue fiscal" w:history="1">
        <w:r w:rsidR="00B91815">
          <w:rPr>
            <w:rStyle w:val="Lienhypertexte"/>
            <w:rFonts w:ascii="Arial" w:hAnsi="Arial" w:cs="Arial"/>
            <w:sz w:val="21"/>
            <w:szCs w:val="21"/>
          </w:rPr>
          <w:t>03/11/2021 : BIC - Actualisation du taux maximum des intérêts admis en déduction d'un point de vue fiscal</w:t>
        </w:r>
      </w:hyperlink>
    </w:p>
    <w:p w14:paraId="1224251F" w14:textId="77777777" w:rsidR="00B91815" w:rsidRDefault="0022626E" w:rsidP="00B91815">
      <w:pPr>
        <w:pStyle w:val="NormalWeb"/>
        <w:shd w:val="clear" w:color="auto" w:fill="FFFFFF"/>
        <w:spacing w:before="0" w:after="150"/>
        <w:jc w:val="both"/>
        <w:rPr>
          <w:rFonts w:ascii="Arial" w:hAnsi="Arial" w:cs="Arial"/>
          <w:color w:val="333333"/>
          <w:sz w:val="21"/>
          <w:szCs w:val="21"/>
        </w:rPr>
      </w:pPr>
      <w:hyperlink r:id="rId26" w:tooltip="03/11/2021 : IF - Prorogation de l'exonération facultative temporaire de cotisation foncière des entreprises (CFE) applicable dans les zones d'aide à l'investissement des petites et moyennes entreprises (PME) (loi n° 2020-1721 du 29 décembre 2020 de finances p" w:history="1">
        <w:r w:rsidR="00B91815">
          <w:rPr>
            <w:rStyle w:val="Lienhypertexte"/>
            <w:rFonts w:ascii="Arial" w:hAnsi="Arial" w:cs="Arial"/>
            <w:sz w:val="21"/>
            <w:szCs w:val="21"/>
          </w:rPr>
          <w:t>03/11/2021 : IF - Prorogation de l'exonération facultative temporaire de cotisation foncière des entreprises (CFE) applicable dans les zones d'aide à l'investissement des petites et moyennes entreprises (PME) (loi n° 2020-1721 du 29 décembre 2020 de finances pour 2021, art. 223)</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27"/>
      <w:headerReference w:type="first" r:id="rId28"/>
      <w:footerReference w:type="first" r:id="rId29"/>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16E09" w14:textId="77777777" w:rsidR="0022626E" w:rsidRDefault="0022626E">
      <w:r>
        <w:separator/>
      </w:r>
    </w:p>
  </w:endnote>
  <w:endnote w:type="continuationSeparator" w:id="0">
    <w:p w14:paraId="4E0278F0" w14:textId="77777777" w:rsidR="0022626E" w:rsidRDefault="0022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63A592C2-ADB4-4087-8CA8-2946E30BBCB9}"/>
    <w:embedBold r:id="rId2" w:fontKey="{8C5A9371-C134-460B-9D87-7A056D014F9E}"/>
    <w:embedItalic r:id="rId3" w:fontKey="{3C01A187-C895-4028-AC46-688EBE7EB1D5}"/>
    <w:embedBoldItalic r:id="rId4" w:fontKey="{4369A5BC-A652-4168-A837-70E095CBACB2}"/>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98D2A3AA-16B0-4538-9EF2-39DBE96C1041}"/>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6" w:subsetted="1" w:fontKey="{F0365729-46DB-4A49-B0BA-33A923F4CA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50199" w14:textId="77777777" w:rsidR="0022626E" w:rsidRDefault="0022626E">
      <w:r>
        <w:separator/>
      </w:r>
    </w:p>
  </w:footnote>
  <w:footnote w:type="continuationSeparator" w:id="0">
    <w:p w14:paraId="7A39F4E8" w14:textId="77777777" w:rsidR="0022626E" w:rsidRDefault="00226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5C5D3FE5"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w:t>
          </w:r>
          <w:r w:rsidR="0048009B">
            <w:rPr>
              <w:noProof/>
              <w:sz w:val="20"/>
            </w:rPr>
            <w:t>1</w:t>
          </w:r>
          <w:r w:rsidR="001E5D0A">
            <w:rPr>
              <w:noProof/>
              <w:sz w:val="20"/>
            </w:rPr>
            <w:t>1</w:t>
          </w:r>
          <w:r>
            <w:rPr>
              <w:sz w:val="20"/>
            </w:rPr>
            <w:fldChar w:fldCharType="end"/>
          </w:r>
        </w:p>
        <w:p w14:paraId="6D4A75FB" w14:textId="482152A1"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067E8F">
            <w:rPr>
              <w:sz w:val="20"/>
            </w:rPr>
            <w:t>30</w:t>
          </w:r>
          <w:r w:rsidR="0048009B">
            <w:rPr>
              <w:sz w:val="20"/>
            </w:rPr>
            <w:t xml:space="preserve"> novembre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6" type="#_x0000_t75" style="width:3in;height:3in" o:bullet="t"/>
    </w:pict>
  </w:numPicBullet>
  <w:numPicBullet w:numPicBulletId="1">
    <w:pict>
      <v:shape id="_x0000_i1447" type="#_x0000_t75" style="width:3in;height:3in" o:bullet="t"/>
    </w:pict>
  </w:numPicBullet>
  <w:numPicBullet w:numPicBulletId="2">
    <w:pict>
      <v:shape id="_x0000_i1448" type="#_x0000_t75" style="width:3in;height:3in" o:bullet="t"/>
    </w:pict>
  </w:numPicBullet>
  <w:numPicBullet w:numPicBulletId="3">
    <w:pict>
      <v:shape id="_x0000_i1449" type="#_x0000_t75" style="width:3in;height:3in" o:bullet="t"/>
    </w:pict>
  </w:numPicBullet>
  <w:numPicBullet w:numPicBulletId="4">
    <w:pict>
      <v:shape id="_x0000_i1450" type="#_x0000_t75" style="width:3in;height:3in" o:bullet="t"/>
    </w:pict>
  </w:numPicBullet>
  <w:numPicBullet w:numPicBulletId="5">
    <w:pict>
      <v:shape id="_x0000_i1451" type="#_x0000_t75" style="width:3in;height:3in" o:bullet="t"/>
    </w:pict>
  </w:numPicBullet>
  <w:numPicBullet w:numPicBulletId="6">
    <w:pict>
      <v:shape id="_x0000_i1452" type="#_x0000_t75" style="width:3in;height:3in" o:bullet="t"/>
    </w:pict>
  </w:numPicBullet>
  <w:numPicBullet w:numPicBulletId="7">
    <w:pict>
      <v:shape id="_x0000_i1453" type="#_x0000_t75" style="width:3in;height:3in" o:bullet="t"/>
    </w:pict>
  </w:numPicBullet>
  <w:numPicBullet w:numPicBulletId="8">
    <w:pict>
      <v:shape id="_x0000_i1454" type="#_x0000_t75" style="width:3in;height:3in" o:bullet="t"/>
    </w:pict>
  </w:numPicBullet>
  <w:numPicBullet w:numPicBulletId="9">
    <w:pict>
      <v:shape id="_x0000_i1455" type="#_x0000_t75" style="width:3in;height:3in" o:bullet="t"/>
    </w:pict>
  </w:numPicBullet>
  <w:numPicBullet w:numPicBulletId="10">
    <w:pict>
      <v:shape id="_x0000_i1456" type="#_x0000_t75" style="width:3in;height:3in" o:bullet="t"/>
    </w:pict>
  </w:numPicBullet>
  <w:numPicBullet w:numPicBulletId="11">
    <w:pict>
      <v:shape id="_x0000_i1457" type="#_x0000_t75" style="width:3in;height:3in" o:bullet="t"/>
    </w:pict>
  </w:numPicBullet>
  <w:numPicBullet w:numPicBulletId="12">
    <w:pict>
      <v:shape id="_x0000_i1458" type="#_x0000_t75" style="width:3in;height:3in" o:bullet="t"/>
    </w:pict>
  </w:numPicBullet>
  <w:numPicBullet w:numPicBulletId="13">
    <w:pict>
      <v:shape id="_x0000_i1459" type="#_x0000_t75" style="width:3in;height:3in" o:bullet="t"/>
    </w:pict>
  </w:numPicBullet>
  <w:numPicBullet w:numPicBulletId="14">
    <w:pict>
      <v:shape id="_x0000_i1460" type="#_x0000_t75" style="width:3in;height:3in" o:bullet="t"/>
    </w:pict>
  </w:numPicBullet>
  <w:numPicBullet w:numPicBulletId="15">
    <w:pict>
      <v:shape id="_x0000_i1461" type="#_x0000_t75" style="width:3in;height:3in" o:bullet="t"/>
    </w:pict>
  </w:numPicBullet>
  <w:numPicBullet w:numPicBulletId="16">
    <w:pict>
      <v:shape id="_x0000_i1462" type="#_x0000_t75" style="width:3in;height:3in" o:bullet="t"/>
    </w:pict>
  </w:numPicBullet>
  <w:numPicBullet w:numPicBulletId="17">
    <w:pict>
      <v:shape id="_x0000_i1463" type="#_x0000_t75" style="width:3in;height:3in" o:bullet="t"/>
    </w:pict>
  </w:numPicBullet>
  <w:numPicBullet w:numPicBulletId="18">
    <w:pict>
      <v:shape id="_x0000_i1464" type="#_x0000_t75" style="width:3in;height:3in" o:bullet="t"/>
    </w:pict>
  </w:numPicBullet>
  <w:numPicBullet w:numPicBulletId="19">
    <w:pict>
      <v:shape id="_x0000_i14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1"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2"/>
  </w:num>
  <w:num w:numId="5">
    <w:abstractNumId w:val="26"/>
  </w:num>
  <w:num w:numId="6">
    <w:abstractNumId w:val="21"/>
  </w:num>
  <w:num w:numId="7">
    <w:abstractNumId w:val="7"/>
  </w:num>
  <w:num w:numId="8">
    <w:abstractNumId w:val="15"/>
  </w:num>
  <w:num w:numId="9">
    <w:abstractNumId w:val="20"/>
  </w:num>
  <w:num w:numId="10">
    <w:abstractNumId w:val="16"/>
  </w:num>
  <w:num w:numId="11">
    <w:abstractNumId w:val="13"/>
  </w:num>
  <w:num w:numId="12">
    <w:abstractNumId w:val="14"/>
  </w:num>
  <w:num w:numId="13">
    <w:abstractNumId w:val="33"/>
  </w:num>
  <w:num w:numId="14">
    <w:abstractNumId w:val="24"/>
  </w:num>
  <w:num w:numId="15">
    <w:abstractNumId w:val="27"/>
  </w:num>
  <w:num w:numId="16">
    <w:abstractNumId w:val="2"/>
  </w:num>
  <w:num w:numId="17">
    <w:abstractNumId w:val="28"/>
  </w:num>
  <w:num w:numId="18">
    <w:abstractNumId w:val="18"/>
  </w:num>
  <w:num w:numId="19">
    <w:abstractNumId w:val="23"/>
  </w:num>
  <w:num w:numId="20">
    <w:abstractNumId w:val="25"/>
  </w:num>
  <w:num w:numId="21">
    <w:abstractNumId w:val="29"/>
  </w:num>
  <w:num w:numId="22">
    <w:abstractNumId w:val="31"/>
  </w:num>
  <w:num w:numId="23">
    <w:abstractNumId w:val="4"/>
  </w:num>
  <w:num w:numId="24">
    <w:abstractNumId w:val="17"/>
  </w:num>
  <w:num w:numId="25">
    <w:abstractNumId w:val="8"/>
  </w:num>
  <w:num w:numId="26">
    <w:abstractNumId w:val="10"/>
  </w:num>
  <w:num w:numId="27">
    <w:abstractNumId w:val="19"/>
  </w:num>
  <w:num w:numId="28">
    <w:abstractNumId w:val="9"/>
  </w:num>
  <w:num w:numId="29">
    <w:abstractNumId w:val="3"/>
  </w:num>
  <w:num w:numId="30">
    <w:abstractNumId w:val="11"/>
  </w:num>
  <w:num w:numId="31">
    <w:abstractNumId w:val="34"/>
  </w:num>
  <w:num w:numId="32">
    <w:abstractNumId w:val="30"/>
  </w:num>
  <w:num w:numId="33">
    <w:abstractNumId w:val="1"/>
  </w:num>
  <w:num w:numId="34">
    <w:abstractNumId w:val="22"/>
    <w:lvlOverride w:ilvl="0">
      <w:startOverride w:val="17"/>
    </w:lvlOverride>
  </w:num>
  <w:num w:numId="35">
    <w:abstractNumId w:val="22"/>
    <w:lvlOverride w:ilvl="0">
      <w:startOverride w:val="18"/>
    </w:lvlOverride>
  </w:num>
  <w:num w:numId="36">
    <w:abstractNumId w:val="22"/>
    <w:lvlOverride w:ilvl="0">
      <w:startOverride w:val="19"/>
    </w:lvlOverride>
  </w:num>
  <w:num w:numId="37">
    <w:abstractNumId w:val="22"/>
    <w:lvlOverride w:ilvl="0">
      <w:startOverride w:val="20"/>
    </w:lvlOverride>
  </w:num>
  <w:num w:numId="38">
    <w:abstractNumId w:val="22"/>
    <w:lvlOverride w:ilvl="0">
      <w:startOverride w:val="21"/>
    </w:lvlOverride>
  </w:num>
  <w:num w:numId="39">
    <w:abstractNumId w:val="22"/>
    <w:lvlOverride w:ilvl="0">
      <w:startOverride w:val="22"/>
    </w:lvlOverride>
  </w:num>
  <w:num w:numId="40">
    <w:abstractNumId w:val="22"/>
    <w:lvlOverride w:ilvl="0">
      <w:startOverride w:val="23"/>
    </w:lvlOverride>
  </w:num>
  <w:num w:numId="4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5B52"/>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7E9"/>
    <w:rsid w:val="003A02C8"/>
    <w:rsid w:val="003A0560"/>
    <w:rsid w:val="003A0B86"/>
    <w:rsid w:val="003A1B8D"/>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719"/>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649"/>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4D35"/>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257E"/>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149A"/>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6BCE"/>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ceta/id/CETATEXT000044205269?juridiction=CONSEIL_ETAT&amp;juridiction=COURS_APPEL&amp;juridiction=TRIBUNAL_ADMINISTATIF&amp;juridiction=TRIBUNAL_CONFLIT&amp;page=1&amp;pageSize=10&amp;query=*433745&amp;searchField=ALL&amp;searchType=ALL&amp;sortValue=DATE_DESC&amp;tab_selection=cetat" TargetMode="External"/><Relationship Id="rId13" Type="http://schemas.openxmlformats.org/officeDocument/2006/relationships/hyperlink" Target="https://www.anc.gouv.fr/sites/anc/accueil/normes-francaises/toutes-actualites-fr-normes-fran/page_content/L-actusfr02/lignePersoColSimpletitrepage/la-actusfr/lc-actus/la-actusla-fr/actualite-1.html" TargetMode="External"/><Relationship Id="rId18" Type="http://schemas.openxmlformats.org/officeDocument/2006/relationships/hyperlink" Target="https://www.legifrance.gouv.fr/jorf/id/JORFTEXT000044044563" TargetMode="External"/><Relationship Id="rId26" Type="http://schemas.openxmlformats.org/officeDocument/2006/relationships/hyperlink" Target="https://bofip.impots.gouv.fr/bofip/13276-PGP.html/ACTU-2021-00246" TargetMode="External"/><Relationship Id="rId3" Type="http://schemas.openxmlformats.org/officeDocument/2006/relationships/styles" Target="styles.xml"/><Relationship Id="rId21" Type="http://schemas.openxmlformats.org/officeDocument/2006/relationships/hyperlink" Target="https://questions.assemblee-nationale.fr/q15/15-38389QE.htm" TargetMode="External"/><Relationship Id="rId7" Type="http://schemas.openxmlformats.org/officeDocument/2006/relationships/endnotes" Target="endnotes.xml"/><Relationship Id="rId12" Type="http://schemas.openxmlformats.org/officeDocument/2006/relationships/hyperlink" Target="https://www.anc.gouv.fr/files/live/sites/anc/files/contributed/ANC/1_Normes_fran%c3%a7aises/Reglements/2021/R2021_09/R2021_09_Recueil.pdf" TargetMode="External"/><Relationship Id="rId17" Type="http://schemas.openxmlformats.org/officeDocument/2006/relationships/hyperlink" Target="https://eur-lex.europa.eu/legal-content/FR/TXT/?uri=CELEX:32021R1953" TargetMode="External"/><Relationship Id="rId25" Type="http://schemas.openxmlformats.org/officeDocument/2006/relationships/hyperlink" Target="https://bofip.impots.gouv.fr/bofip/13346-PGP.html/ACTU-2021-00276" TargetMode="External"/><Relationship Id="rId2" Type="http://schemas.openxmlformats.org/officeDocument/2006/relationships/numbering" Target="numbering.xml"/><Relationship Id="rId16" Type="http://schemas.openxmlformats.org/officeDocument/2006/relationships/hyperlink" Target="https://eur-lex.europa.eu/legal-content/FR/TXT/?uri=CELEX:32021R1952" TargetMode="External"/><Relationship Id="rId20" Type="http://schemas.openxmlformats.org/officeDocument/2006/relationships/hyperlink" Target="https://www.legifrance.gouv.fr/jorf/id/JORFTEXT00004427314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c.gouv.fr/files/live/sites/anc/files/contributed/ANC/1_Normes_fran%c3%a7aises/Reglements/2021/R2021_09/R2021_09.pdf" TargetMode="External"/><Relationship Id="rId24" Type="http://schemas.openxmlformats.org/officeDocument/2006/relationships/hyperlink" Target="https://bofip.impots.gouv.fr/bofip/13293-PGP.html/ACTU-2021-00252" TargetMode="External"/><Relationship Id="rId5" Type="http://schemas.openxmlformats.org/officeDocument/2006/relationships/webSettings" Target="webSettings.xml"/><Relationship Id="rId15" Type="http://schemas.openxmlformats.org/officeDocument/2006/relationships/hyperlink" Target="https://eur-lex.europa.eu/legal-content/FR/TXT/?uri=CELEX:32021R1951" TargetMode="External"/><Relationship Id="rId23" Type="http://schemas.openxmlformats.org/officeDocument/2006/relationships/hyperlink" Target="https://www.legifrance.gouv.fr/ceta/id/CETATEXT000043799671?juridiction=TRIBUNAL_CONFLIT&amp;page=1&amp;pageSize=10&amp;query=*4218&amp;searchField=ALL&amp;searchType=ALL&amp;sortValue=DATE_DESC&amp;tab_selection=cetat" TargetMode="External"/><Relationship Id="rId28" Type="http://schemas.openxmlformats.org/officeDocument/2006/relationships/header" Target="header2.xml"/><Relationship Id="rId10" Type="http://schemas.openxmlformats.org/officeDocument/2006/relationships/hyperlink" Target="https://questions.assemblee-nationale.fr/q15/15-39421QE.htm" TargetMode="External"/><Relationship Id="rId19" Type="http://schemas.openxmlformats.org/officeDocument/2006/relationships/hyperlink" Target="https://www.legifrance.gouv.fr/jorf/id/JORFTEXT000044091859?dateVersion=22%2F11%2F2021&amp;etatArticle=ABROGE_DIFF&amp;etatArticle=VIGUEUR&amp;etatTexte=ABROGE_DIFF&amp;etatTexte=VIGUEUR&amp;nature=DECRET&amp;nature=ORDONNANCE&amp;page=1&amp;pageSize=10&amp;query=*2021-1218&amp;searchField=ALL&amp;searchType=ALL&amp;sortValue=SIGNATURE_DATE_DESC&amp;tab_selection=lawarticledecree&amp;typePagination=DEFAUT&amp;typeRecherche=dat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egifrance.gouv.fr/ceta/id/CETATEXT000044234333?juridiction=CONSEIL_ETAT&amp;juridiction=COURS_APPEL&amp;juridiction=TRIBUNAL_ADMINISTATIF&amp;juridiction=TRIBUNAL_CONFLIT&amp;page=1&amp;pageSize=10&amp;query=*450268&amp;searchField=ALL&amp;searchType=ALL&amp;sortValue=DATE_DESC&amp;tab_selection=cetat" TargetMode="External"/><Relationship Id="rId14" Type="http://schemas.openxmlformats.org/officeDocument/2006/relationships/hyperlink" Target="https://eur-lex.europa.eu/legal-content/FR/TXT/?uri=CELEX:32021R1950" TargetMode="External"/><Relationship Id="rId22" Type="http://schemas.openxmlformats.org/officeDocument/2006/relationships/hyperlink" Target="http://www.senat.fr/basile/visio.do?id=qSEQ201219671&amp;idtable=q389205|q388805|q388637|q388761|q387922|q387947|q388252|q387823|q387163|q387346&amp;_na=QE&amp;rch=qa&amp;de=20211108&amp;au=20211115&amp;dp=1+an&amp;radio=deau&amp;date=dateJORep&amp;appr=text&amp;aff=ar&amp;tri=dd&amp;off=100&amp;afd=ppr&amp;afd=ppl&amp;afd=pjl&amp;afd=cvn"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5</Pages>
  <Words>1472</Words>
  <Characters>8102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9555</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68</cp:revision>
  <cp:lastPrinted>2020-08-04T09:31:00Z</cp:lastPrinted>
  <dcterms:created xsi:type="dcterms:W3CDTF">2021-03-04T15:01:00Z</dcterms:created>
  <dcterms:modified xsi:type="dcterms:W3CDTF">2021-11-30T14:21:00Z</dcterms:modified>
</cp:coreProperties>
</file>