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6A871814"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48009B">
              <w:rPr>
                <w:rFonts w:ascii="Times New Roman" w:eastAsia="Times New Roman" w:hAnsi="Times New Roman"/>
                <w:noProof/>
                <w:sz w:val="20"/>
              </w:rPr>
              <w:t>10</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1EBB47B6" w:rsidR="003565C4" w:rsidRPr="00990583" w:rsidRDefault="00E911FE" w:rsidP="00E911FE">
            <w:pPr>
              <w:pStyle w:val="Corpsdetexte"/>
              <w:spacing w:before="0" w:after="0"/>
              <w:ind w:left="-8"/>
            </w:pPr>
            <w:r w:rsidRPr="00990583">
              <w:t>Paris</w:t>
            </w:r>
            <w:r w:rsidR="00B37B52" w:rsidRPr="00990583">
              <w:t xml:space="preserve">, le </w:t>
            </w:r>
            <w:r w:rsidR="0048009B">
              <w:t>1</w:t>
            </w:r>
            <w:r w:rsidR="0048009B" w:rsidRPr="0048009B">
              <w:rPr>
                <w:vertAlign w:val="superscript"/>
              </w:rPr>
              <w:t>er</w:t>
            </w:r>
            <w:r w:rsidR="0048009B">
              <w:t xml:space="preserve"> novembre </w:t>
            </w:r>
            <w:r w:rsidR="00A57E3D" w:rsidRPr="00990583">
              <w:t>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72E39C53" w:rsidR="00D1561B" w:rsidRDefault="00596118" w:rsidP="00A01213">
      <w:pPr>
        <w:spacing w:before="120" w:after="0" w:line="240" w:lineRule="auto"/>
        <w:ind w:left="1701" w:hanging="1701"/>
      </w:pPr>
      <w:r w:rsidRPr="00122165">
        <w:rPr>
          <w:b/>
        </w:rPr>
        <w:t>IS :</w:t>
      </w:r>
      <w:r w:rsidR="00D47E79">
        <w:t xml:space="preserve"> </w:t>
      </w:r>
      <w:r w:rsidR="00D47E79">
        <w:tab/>
      </w:r>
      <w:r w:rsidR="00235330">
        <w:t>Plus de formalités en 2022 pour le mécénat d’entreprises -</w:t>
      </w:r>
    </w:p>
    <w:p w14:paraId="073D1CB1" w14:textId="56B90062" w:rsidR="00916F7D" w:rsidRDefault="00596118" w:rsidP="00A01213">
      <w:pPr>
        <w:spacing w:before="120" w:after="0" w:line="240" w:lineRule="auto"/>
        <w:ind w:left="1701" w:hanging="1701"/>
      </w:pPr>
      <w:r w:rsidRPr="00122165">
        <w:rPr>
          <w:b/>
        </w:rPr>
        <w:t>TVA :</w:t>
      </w:r>
      <w:r w:rsidR="00DB56D6">
        <w:t xml:space="preserve"> </w:t>
      </w:r>
      <w:r w:rsidR="00DB56D6">
        <w:tab/>
      </w:r>
      <w:r w:rsidR="00235330">
        <w:t>TVA sur marge encore : la CJUE se prononce dans un sens restrictif – TVA sur mise en jeu d’une clause de rachat – A défaut de précision, le prix contractuel s’entend TTC et la TVA est donc pour les pieds du vendeur -</w:t>
      </w:r>
    </w:p>
    <w:p w14:paraId="4E8276DC" w14:textId="3AD9D519" w:rsidR="001261C0" w:rsidRDefault="00596118" w:rsidP="00A01213">
      <w:pPr>
        <w:spacing w:before="120" w:after="0" w:line="240" w:lineRule="auto"/>
        <w:ind w:left="1701" w:hanging="1701"/>
      </w:pPr>
      <w:r w:rsidRPr="00122165">
        <w:rPr>
          <w:b/>
        </w:rPr>
        <w:t>Locaux :</w:t>
      </w:r>
      <w:r w:rsidR="004A7406">
        <w:tab/>
      </w:r>
      <w:r w:rsidR="00DB4F9A">
        <w:t>Rien à signaler</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51D0E8E9" w:rsidR="00B50E23" w:rsidRDefault="00596118" w:rsidP="00A01213">
      <w:pPr>
        <w:spacing w:before="120" w:after="0" w:line="240" w:lineRule="auto"/>
        <w:ind w:left="1701" w:hanging="1701"/>
      </w:pPr>
      <w:r w:rsidRPr="00122165">
        <w:rPr>
          <w:b/>
        </w:rPr>
        <w:t>Divers</w:t>
      </w:r>
      <w:r w:rsidR="004A7406">
        <w:t xml:space="preserve"> :</w:t>
      </w:r>
      <w:r w:rsidR="004A7406">
        <w:tab/>
      </w:r>
      <w:r w:rsidR="00DB4F9A">
        <w:t>Rien à signaler</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322ED28D" w:rsidR="00B54BDA" w:rsidRDefault="00596118" w:rsidP="00A01213">
      <w:pPr>
        <w:spacing w:before="120" w:after="0" w:line="240" w:lineRule="auto"/>
        <w:ind w:left="1701" w:hanging="1701"/>
      </w:pPr>
      <w:r w:rsidRPr="00122165">
        <w:rPr>
          <w:b/>
        </w:rPr>
        <w:t>Publique :</w:t>
      </w:r>
      <w:r w:rsidR="00B00EF7">
        <w:t xml:space="preserve"> </w:t>
      </w:r>
      <w:r w:rsidR="00B00EF7">
        <w:tab/>
      </w:r>
      <w:r w:rsidR="00235330">
        <w:t>Rien à signaler</w:t>
      </w:r>
    </w:p>
    <w:p w14:paraId="5F6B1C19" w14:textId="339E10C1" w:rsidR="005A391C" w:rsidRDefault="00596118" w:rsidP="00A01213">
      <w:pPr>
        <w:spacing w:before="120" w:after="0" w:line="240" w:lineRule="auto"/>
        <w:ind w:left="1701" w:hanging="1701"/>
      </w:pPr>
      <w:r w:rsidRPr="00122165">
        <w:rPr>
          <w:b/>
        </w:rPr>
        <w:t>Privée :</w:t>
      </w:r>
      <w:r w:rsidR="00B00EF7">
        <w:t xml:space="preserve"> </w:t>
      </w:r>
      <w:r w:rsidR="00B00EF7">
        <w:tab/>
      </w:r>
      <w:r w:rsidR="00235330">
        <w:t>Sanctions pour les dirigeants d’</w:t>
      </w:r>
      <w:r w:rsidR="00D8577F">
        <w:t>associations</w:t>
      </w:r>
      <w:r w:rsidR="00235330">
        <w:t xml:space="preserve"> qui ne déposent pas  leurs comptes – Mise à jour des obligations comptables des bailleurs sociaux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5FAF7572" w:rsidR="00B54BDA" w:rsidRDefault="00596118" w:rsidP="00A01213">
      <w:pPr>
        <w:spacing w:before="120" w:after="0" w:line="240" w:lineRule="auto"/>
        <w:ind w:left="1701" w:hanging="1701"/>
      </w:pPr>
      <w:r w:rsidRPr="00122165">
        <w:rPr>
          <w:b/>
        </w:rPr>
        <w:t>Textes :</w:t>
      </w:r>
      <w:r>
        <w:t xml:space="preserve"> </w:t>
      </w:r>
      <w:r w:rsidR="00223947">
        <w:tab/>
      </w:r>
      <w:r w:rsidR="00D8577F">
        <w:t>Nouvelles forme de publicité des actes des collectivités territoriales -</w:t>
      </w:r>
    </w:p>
    <w:p w14:paraId="41468130" w14:textId="595E8F9B" w:rsidR="006B1E5F" w:rsidRDefault="00596118" w:rsidP="00A01213">
      <w:pPr>
        <w:spacing w:before="120" w:after="0" w:line="240" w:lineRule="auto"/>
        <w:ind w:left="1701" w:hanging="1701"/>
      </w:pPr>
      <w:r w:rsidRPr="00122165">
        <w:rPr>
          <w:b/>
        </w:rPr>
        <w:t>Réponses :</w:t>
      </w:r>
      <w:r>
        <w:t xml:space="preserve"> </w:t>
      </w:r>
      <w:r w:rsidR="00223947">
        <w:tab/>
      </w:r>
      <w:r w:rsidR="00D8577F">
        <w:t>Le forfait post stationnement et sa contestation -</w:t>
      </w:r>
    </w:p>
    <w:p w14:paraId="48D6DEFC" w14:textId="7FE394E1" w:rsidR="00CE269F" w:rsidRDefault="00596118" w:rsidP="00A01213">
      <w:pPr>
        <w:spacing w:before="120" w:after="0" w:line="240" w:lineRule="auto"/>
        <w:ind w:left="1701" w:hanging="1701"/>
      </w:pPr>
      <w:r w:rsidRPr="004E2169">
        <w:rPr>
          <w:b/>
          <w:spacing w:val="-8"/>
        </w:rPr>
        <w:t>Jurisprudence :</w:t>
      </w:r>
      <w:r>
        <w:t xml:space="preserve"> </w:t>
      </w:r>
      <w:r w:rsidR="00223947">
        <w:tab/>
      </w:r>
      <w:r w:rsidR="00D8577F">
        <w:t>Vente par une commune d’un immeuble moins cher que sa valeur -</w:t>
      </w:r>
    </w:p>
    <w:p w14:paraId="76354D80" w14:textId="2D8F97FC" w:rsidR="00004382" w:rsidRDefault="00596118" w:rsidP="00A01213">
      <w:pPr>
        <w:spacing w:before="120" w:after="0" w:line="240" w:lineRule="auto"/>
        <w:ind w:left="1701" w:hanging="1701"/>
      </w:pPr>
      <w:r w:rsidRPr="00122165">
        <w:rPr>
          <w:b/>
        </w:rPr>
        <w:t>Divers :</w:t>
      </w:r>
      <w:r>
        <w:t xml:space="preserve"> </w:t>
      </w:r>
      <w:r>
        <w:tab/>
      </w:r>
      <w:r w:rsidR="00D8577F">
        <w:t>Coût des piscines – Les comptes des collectivités pour 2020 (fiches individuelles) -</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2B5B0E82" w14:textId="0A7CDF9E" w:rsidR="00DB4F9A" w:rsidRDefault="00A2187C" w:rsidP="00DB4F9A">
      <w:pPr>
        <w:keepNext/>
        <w:spacing w:before="120" w:after="0" w:line="240" w:lineRule="auto"/>
        <w:rPr>
          <w:color w:val="003300"/>
        </w:rPr>
      </w:pPr>
      <w:r w:rsidRPr="00A2187C">
        <w:rPr>
          <w:color w:val="003300"/>
          <w:u w:val="single"/>
        </w:rPr>
        <w:t>Mécénat d’entreprises</w:t>
      </w:r>
      <w:r>
        <w:rPr>
          <w:color w:val="003300"/>
        </w:rPr>
        <w:t xml:space="preserve"> – A partir de 2022, le donateur ne pourra en bénéficier que s’il produit le papier émis par le bénéficiaire.</w:t>
      </w:r>
    </w:p>
    <w:p w14:paraId="3B22C8A2" w14:textId="2F179C4D" w:rsidR="00A2187C" w:rsidRPr="003C0719" w:rsidRDefault="00A2187C" w:rsidP="00A2187C">
      <w:pPr>
        <w:keepNext/>
        <w:spacing w:before="120" w:after="0" w:line="240" w:lineRule="auto"/>
        <w:ind w:left="567"/>
      </w:pPr>
      <w:hyperlink r:id="rId8" w:history="1">
        <w:r w:rsidRPr="003C0719">
          <w:rPr>
            <w:rStyle w:val="Lienhypertexte"/>
          </w:rPr>
          <w:t>Loi n° 2</w:t>
        </w:r>
        <w:r w:rsidRPr="003C0719">
          <w:rPr>
            <w:rStyle w:val="Lienhypertexte"/>
          </w:rPr>
          <w:t>0</w:t>
        </w:r>
        <w:r w:rsidRPr="003C0719">
          <w:rPr>
            <w:rStyle w:val="Lienhypertexte"/>
          </w:rPr>
          <w:t>21-1109</w:t>
        </w:r>
      </w:hyperlink>
      <w:r w:rsidRPr="003C0719">
        <w:rPr>
          <w:color w:val="003300"/>
        </w:rPr>
        <w:t xml:space="preserve"> </w:t>
      </w:r>
      <w:r w:rsidRPr="003C0719">
        <w:t xml:space="preserve">du 24 août 2021 confortant le respect des principes de la République, art. </w:t>
      </w:r>
      <w:r>
        <w:t>19</w:t>
      </w:r>
    </w:p>
    <w:p w14:paraId="62E80419" w14:textId="2BC5083D"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099B9FCF" w14:textId="55400D6B" w:rsidR="003C0719" w:rsidRPr="00DB4F9A" w:rsidRDefault="003C0719" w:rsidP="003C0719">
      <w:pPr>
        <w:keepNext/>
        <w:spacing w:before="120" w:after="0" w:line="240" w:lineRule="auto"/>
        <w:rPr>
          <w:rFonts w:cs="Times"/>
          <w:color w:val="003300"/>
          <w:szCs w:val="24"/>
          <w:u w:val="single"/>
        </w:rPr>
      </w:pPr>
      <w:r w:rsidRPr="004A4451">
        <w:rPr>
          <w:color w:val="003300"/>
          <w:u w:val="single"/>
        </w:rPr>
        <w:t>TVA sur marge</w:t>
      </w:r>
      <w:r>
        <w:rPr>
          <w:color w:val="003300"/>
        </w:rPr>
        <w:t xml:space="preserve"> – Nouvelle péripétie</w:t>
      </w:r>
      <w:r w:rsidR="0020427F">
        <w:rPr>
          <w:color w:val="003300"/>
        </w:rPr>
        <w:t xml:space="preserve"> qui restreint encore cette possibilité (confirmation de la condition d’identité juridique et exclusion des acquisitions sans TVA).</w:t>
      </w:r>
    </w:p>
    <w:p w14:paraId="04130A00" w14:textId="12CB85EA" w:rsidR="003C0719" w:rsidRPr="0020427F" w:rsidRDefault="0020427F" w:rsidP="0020427F">
      <w:pPr>
        <w:keepNext/>
        <w:spacing w:before="120" w:after="0" w:line="240" w:lineRule="auto"/>
        <w:ind w:left="567"/>
        <w:rPr>
          <w:color w:val="003300"/>
        </w:rPr>
      </w:pPr>
      <w:hyperlink r:id="rId9" w:history="1">
        <w:r w:rsidRPr="0020427F">
          <w:rPr>
            <w:rStyle w:val="Lienhypertexte"/>
          </w:rPr>
          <w:t xml:space="preserve">CJUE 30-9-2021 </w:t>
        </w:r>
        <w:proofErr w:type="spellStart"/>
        <w:r w:rsidRPr="0020427F">
          <w:rPr>
            <w:rStyle w:val="Lienhypertexte"/>
          </w:rPr>
          <w:t>aff.</w:t>
        </w:r>
        <w:proofErr w:type="spellEnd"/>
        <w:r w:rsidRPr="0020427F">
          <w:rPr>
            <w:rStyle w:val="Lienhypertexte"/>
          </w:rPr>
          <w:t xml:space="preserve"> 299/20</w:t>
        </w:r>
      </w:hyperlink>
      <w:r>
        <w:t xml:space="preserve"> – Icade Promotion</w:t>
      </w:r>
    </w:p>
    <w:p w14:paraId="3E7B27E9" w14:textId="22DE8011" w:rsidR="004A4451" w:rsidRDefault="004A4451" w:rsidP="006320BB">
      <w:pPr>
        <w:keepNext/>
        <w:spacing w:before="120" w:after="0" w:line="240" w:lineRule="auto"/>
        <w:rPr>
          <w:color w:val="003300"/>
        </w:rPr>
      </w:pPr>
      <w:r w:rsidRPr="004A4451">
        <w:rPr>
          <w:color w:val="003300"/>
          <w:u w:val="single"/>
        </w:rPr>
        <w:t>Mise en jeu d’une clause de rachat</w:t>
      </w:r>
      <w:r>
        <w:rPr>
          <w:color w:val="003300"/>
        </w:rPr>
        <w:t xml:space="preserve"> </w:t>
      </w:r>
      <w:r>
        <w:rPr>
          <w:color w:val="003300"/>
        </w:rPr>
        <w:t>-  La clause de rachat s’analyse en résolution de contrat et donc pas de TVA. Mais il faut la payer car le prix rémunère une prestation de crédit.</w:t>
      </w:r>
    </w:p>
    <w:p w14:paraId="2D028805" w14:textId="68EE918A" w:rsidR="004A4451" w:rsidRPr="004A4451" w:rsidRDefault="004A4451" w:rsidP="004A4451">
      <w:pPr>
        <w:keepNext/>
        <w:spacing w:before="120" w:after="0" w:line="240" w:lineRule="auto"/>
        <w:ind w:left="567"/>
        <w:rPr>
          <w:rFonts w:cs="Times"/>
          <w:bCs/>
          <w:szCs w:val="24"/>
        </w:rPr>
      </w:pPr>
      <w:r w:rsidRPr="004A4451">
        <w:rPr>
          <w:rFonts w:cs="Times"/>
          <w:bCs/>
          <w:szCs w:val="24"/>
        </w:rPr>
        <w:t xml:space="preserve">CE 7-10-2021 </w:t>
      </w:r>
      <w:hyperlink r:id="rId10" w:history="1">
        <w:r w:rsidRPr="004A4451">
          <w:rPr>
            <w:rStyle w:val="Lienhypertexte"/>
            <w:rFonts w:cs="Times"/>
            <w:bCs/>
            <w:szCs w:val="24"/>
          </w:rPr>
          <w:t>n° 430136</w:t>
        </w:r>
      </w:hyperlink>
    </w:p>
    <w:p w14:paraId="07585113" w14:textId="261F01DE" w:rsidR="007B0938" w:rsidRDefault="007B0938" w:rsidP="006320BB">
      <w:pPr>
        <w:keepNext/>
        <w:spacing w:before="120" w:after="0" w:line="240" w:lineRule="auto"/>
        <w:rPr>
          <w:color w:val="003300"/>
        </w:rPr>
      </w:pPr>
      <w:r>
        <w:rPr>
          <w:color w:val="003300"/>
          <w:u w:val="single"/>
        </w:rPr>
        <w:t>Prix contractuel sans précision HT ou TTC</w:t>
      </w:r>
      <w:r>
        <w:rPr>
          <w:color w:val="003300"/>
        </w:rPr>
        <w:t xml:space="preserve"> -  </w:t>
      </w:r>
      <w:r>
        <w:rPr>
          <w:color w:val="003300"/>
        </w:rPr>
        <w:t>Comme le prix rémunère une prestation taxable, la question est de savoir qui paie la TVA du vendeur ou de l’acheteur : la réponse est que c’est à la charge du vendeur. Le prix mentionné au contrat est réputé TTC.</w:t>
      </w:r>
    </w:p>
    <w:p w14:paraId="0E9773B3" w14:textId="7C9D4B2A" w:rsidR="007B0938" w:rsidRPr="002C26DA" w:rsidRDefault="007B0938" w:rsidP="002C26DA">
      <w:pPr>
        <w:keepNext/>
        <w:spacing w:before="120" w:after="0" w:line="240" w:lineRule="auto"/>
        <w:rPr>
          <w:color w:val="003300"/>
          <w:sz w:val="20"/>
          <w:szCs w:val="16"/>
        </w:rPr>
      </w:pPr>
      <w:r w:rsidRPr="002C26DA">
        <w:rPr>
          <w:color w:val="003300"/>
          <w:sz w:val="20"/>
          <w:szCs w:val="16"/>
        </w:rPr>
        <w:t>« </w:t>
      </w:r>
      <w:r w:rsidRPr="002C26DA">
        <w:rPr>
          <w:i/>
          <w:iCs/>
          <w:color w:val="003300"/>
          <w:sz w:val="20"/>
          <w:szCs w:val="16"/>
        </w:rPr>
        <w:t>La taxe sur la valeur ajoutée dont est redevable un vendeur ou un prestataire de service est, comme les prélèvements de toute nature assis en addition de cette taxe, un élément qui grève le prix convenu avec le client et non un accessoire du prix. Par suite, dans une opération soumise à la taxe sur la valeur ajoutée, un prix stipulé sans mention de la taxe doit être réputé inclure la taxe qui sera due par le vendeur ou le prestataire de service, à moins qu'une stipulation expresse fasse apparaître que les parties sont convenues d'ajouter au prix stipulé un supplément de prix égal à la taxe sur la valeur ajoutée applicable à l'opération.</w:t>
      </w:r>
      <w:r w:rsidRPr="002C26DA">
        <w:rPr>
          <w:color w:val="003300"/>
          <w:sz w:val="20"/>
          <w:szCs w:val="16"/>
        </w:rPr>
        <w:t> »</w:t>
      </w:r>
    </w:p>
    <w:p w14:paraId="6383A5F2" w14:textId="0B4C5436" w:rsidR="007B0938" w:rsidRPr="004A4451" w:rsidRDefault="007B0938" w:rsidP="007B0938">
      <w:pPr>
        <w:keepNext/>
        <w:spacing w:before="120" w:after="0" w:line="240" w:lineRule="auto"/>
        <w:ind w:left="567"/>
        <w:rPr>
          <w:rFonts w:cs="Times"/>
          <w:bCs/>
          <w:szCs w:val="24"/>
        </w:rPr>
      </w:pPr>
      <w:r w:rsidRPr="007B0938">
        <w:rPr>
          <w:rFonts w:cs="Times"/>
          <w:bCs/>
          <w:szCs w:val="24"/>
        </w:rPr>
        <w:t xml:space="preserve">CE 7e-2e ch. 29-6-2021 </w:t>
      </w:r>
      <w:hyperlink r:id="rId11" w:history="1">
        <w:r w:rsidRPr="007B0938">
          <w:rPr>
            <w:rStyle w:val="Lienhypertexte"/>
            <w:rFonts w:cs="Times"/>
            <w:bCs/>
            <w:szCs w:val="24"/>
          </w:rPr>
          <w:t>n</w:t>
        </w:r>
        <w:r w:rsidRPr="007B0938">
          <w:rPr>
            <w:rStyle w:val="Lienhypertexte"/>
            <w:rFonts w:cs="Times"/>
            <w:bCs/>
            <w:szCs w:val="24"/>
          </w:rPr>
          <w:t>°</w:t>
        </w:r>
        <w:r w:rsidRPr="007B0938">
          <w:rPr>
            <w:rStyle w:val="Lienhypertexte"/>
            <w:rFonts w:cs="Times"/>
            <w:bCs/>
            <w:szCs w:val="24"/>
          </w:rPr>
          <w:t xml:space="preserve"> 442506</w:t>
        </w:r>
      </w:hyperlink>
      <w:r w:rsidRPr="007B0938">
        <w:rPr>
          <w:rFonts w:cs="Times"/>
          <w:bCs/>
          <w:szCs w:val="24"/>
        </w:rPr>
        <w:t>, Sté des Mobiliers Urbains pour la Publicité et l’Information</w:t>
      </w:r>
    </w:p>
    <w:p w14:paraId="09A56362" w14:textId="28D21E09" w:rsidR="002C26DA" w:rsidRDefault="002C26DA" w:rsidP="006320BB">
      <w:pPr>
        <w:keepNext/>
        <w:spacing w:before="120" w:after="0" w:line="240" w:lineRule="auto"/>
        <w:rPr>
          <w:color w:val="003300"/>
        </w:rPr>
      </w:pPr>
      <w:r>
        <w:rPr>
          <w:color w:val="003300"/>
        </w:rPr>
        <w:t>A rapprocher du cas de fraude lorsque le prix est reconstitué par l’administration : la reconstitution est réputé être TTC</w:t>
      </w:r>
    </w:p>
    <w:p w14:paraId="1FD71511" w14:textId="08FDFA0B" w:rsidR="002C26DA" w:rsidRPr="002C26DA" w:rsidRDefault="002C26DA" w:rsidP="006320BB">
      <w:pPr>
        <w:keepNext/>
        <w:spacing w:before="120" w:after="0" w:line="240" w:lineRule="auto"/>
        <w:rPr>
          <w:color w:val="003300"/>
          <w:sz w:val="20"/>
          <w:szCs w:val="16"/>
        </w:rPr>
      </w:pPr>
      <w:r w:rsidRPr="002C26DA">
        <w:rPr>
          <w:color w:val="003300"/>
          <w:sz w:val="20"/>
          <w:szCs w:val="16"/>
        </w:rPr>
        <w:t>« </w:t>
      </w:r>
      <w:r w:rsidRPr="002C26DA">
        <w:rPr>
          <w:i/>
          <w:iCs/>
          <w:color w:val="003300"/>
          <w:sz w:val="20"/>
          <w:szCs w:val="16"/>
        </w:rPr>
        <w:t xml:space="preserve">34. </w:t>
      </w:r>
      <w:r w:rsidRPr="002C26DA">
        <w:rPr>
          <w:i/>
          <w:iCs/>
          <w:color w:val="003300"/>
          <w:sz w:val="20"/>
          <w:szCs w:val="16"/>
        </w:rPr>
        <w:t>C’est pourquoi le résultat d’une opération dissimulée à l’administration fiscale par des assujettis à la TVA, alors qu’elle aurait dû donner lieu à une facturation en application de l’article 220 de la directive 2006/112 portant les mentions requises à l’article 226 de cette directive et être déclarée à cette administration, doit être réputé, lorsqu’il procède, comme dans l’affaire au principal, d’une reconstitution par l’administration fiscale concernée effectuée dans le cadre d’un contrôle au titre des impôts directs, inclure la TVA ayant grevé ladite opération</w:t>
      </w:r>
      <w:r w:rsidRPr="002C26DA">
        <w:rPr>
          <w:i/>
          <w:iCs/>
          <w:color w:val="003300"/>
          <w:sz w:val="20"/>
          <w:szCs w:val="16"/>
        </w:rPr>
        <w:t>.</w:t>
      </w:r>
      <w:r w:rsidRPr="002C26DA">
        <w:rPr>
          <w:color w:val="003300"/>
          <w:sz w:val="20"/>
          <w:szCs w:val="16"/>
        </w:rPr>
        <w:t> »</w:t>
      </w:r>
    </w:p>
    <w:p w14:paraId="78866868" w14:textId="2D9E3132" w:rsidR="002C26DA" w:rsidRPr="002C26DA" w:rsidRDefault="002C26DA" w:rsidP="002C26DA">
      <w:pPr>
        <w:keepNext/>
        <w:spacing w:before="120" w:after="0" w:line="240" w:lineRule="auto"/>
        <w:ind w:left="567"/>
        <w:rPr>
          <w:rFonts w:cs="Times"/>
          <w:bCs/>
          <w:szCs w:val="24"/>
        </w:rPr>
      </w:pPr>
      <w:hyperlink r:id="rId12" w:history="1">
        <w:r w:rsidRPr="002C26DA">
          <w:rPr>
            <w:rStyle w:val="Lienhypertexte"/>
            <w:rFonts w:cs="Times"/>
            <w:bCs/>
            <w:szCs w:val="24"/>
          </w:rPr>
          <w:t xml:space="preserve">CJUE 1-7-2021 </w:t>
        </w:r>
        <w:proofErr w:type="spellStart"/>
        <w:r w:rsidRPr="002C26DA">
          <w:rPr>
            <w:rStyle w:val="Lienhypertexte"/>
            <w:rFonts w:cs="Times"/>
            <w:bCs/>
            <w:szCs w:val="24"/>
          </w:rPr>
          <w:t>aff.</w:t>
        </w:r>
        <w:proofErr w:type="spellEnd"/>
        <w:r w:rsidRPr="002C26DA">
          <w:rPr>
            <w:rStyle w:val="Lienhypertexte"/>
            <w:rFonts w:cs="Times"/>
            <w:bCs/>
            <w:szCs w:val="24"/>
          </w:rPr>
          <w:t xml:space="preserve"> 521/19</w:t>
        </w:r>
      </w:hyperlink>
      <w:r w:rsidRPr="002C26DA">
        <w:rPr>
          <w:rFonts w:cs="Times"/>
          <w:bCs/>
          <w:szCs w:val="24"/>
        </w:rPr>
        <w:t xml:space="preserve"> </w:t>
      </w:r>
    </w:p>
    <w:p w14:paraId="6CE58C92" w14:textId="57604ED9"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35D1EB14" w14:textId="5F485DCE" w:rsidR="006E12CD" w:rsidRPr="00DB4F9A" w:rsidRDefault="00DB4F9A" w:rsidP="00DB4F9A">
      <w:pPr>
        <w:keepNext/>
        <w:spacing w:before="120" w:after="0" w:line="240" w:lineRule="auto"/>
        <w:rPr>
          <w:rFonts w:cs="Times"/>
          <w:color w:val="003300"/>
          <w:szCs w:val="24"/>
          <w:u w:val="single"/>
        </w:rPr>
      </w:pPr>
      <w:r>
        <w:rPr>
          <w:color w:val="003300"/>
        </w:rPr>
        <w:t>Rien à signaler</w:t>
      </w:r>
    </w:p>
    <w:p w14:paraId="034CD263" w14:textId="43C69F16"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F4269BE" w14:textId="3EEF8D79" w:rsidR="007E1F47" w:rsidRPr="00E3229F" w:rsidRDefault="00E3229F" w:rsidP="00E3229F">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235330">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4BF4D7D5" w14:textId="182E6BE0" w:rsidR="00BD7137" w:rsidRPr="00DB4F9A" w:rsidRDefault="00DB4F9A" w:rsidP="00235330">
      <w:pPr>
        <w:spacing w:before="120" w:after="0" w:line="240" w:lineRule="auto"/>
        <w:rPr>
          <w:rFonts w:cs="Times"/>
          <w:color w:val="003300"/>
          <w:szCs w:val="24"/>
          <w:u w:val="single"/>
        </w:rPr>
      </w:pPr>
      <w:r>
        <w:rPr>
          <w:color w:val="003300"/>
        </w:rPr>
        <w:t>Rien à signaler</w:t>
      </w:r>
    </w:p>
    <w:p w14:paraId="5380879D" w14:textId="77777777" w:rsidR="006E12CD" w:rsidRDefault="006E12CD" w:rsidP="00BD7137">
      <w:pPr>
        <w:keepNext/>
        <w:spacing w:before="120" w:after="0" w:line="240" w:lineRule="auto"/>
        <w:rPr>
          <w:color w:val="003300"/>
        </w:rPr>
      </w:pPr>
    </w:p>
    <w:p w14:paraId="20C76B2E" w14:textId="3C1CB255"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0CFE888A" w14:textId="4D3BBC4A" w:rsidR="003C0719" w:rsidRPr="00235330" w:rsidRDefault="00235330" w:rsidP="00484256">
      <w:pPr>
        <w:keepNext/>
        <w:spacing w:before="120" w:after="0" w:line="240" w:lineRule="auto"/>
        <w:rPr>
          <w:rFonts w:cs="Times"/>
          <w:color w:val="003300"/>
          <w:szCs w:val="24"/>
          <w:u w:val="single"/>
        </w:rPr>
      </w:pPr>
      <w:r>
        <w:rPr>
          <w:color w:val="003300"/>
        </w:rPr>
        <w:t>Rien à signaler</w:t>
      </w:r>
    </w:p>
    <w:p w14:paraId="1E12E0B0" w14:textId="0272E66D"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4AE37AAD" w14:textId="48D27BDB" w:rsidR="003C0719" w:rsidRDefault="003C0719" w:rsidP="003C0719">
      <w:pPr>
        <w:keepNext/>
        <w:spacing w:before="120" w:after="0" w:line="240" w:lineRule="auto"/>
        <w:rPr>
          <w:color w:val="003300"/>
        </w:rPr>
      </w:pPr>
      <w:r w:rsidRPr="003C0719">
        <w:rPr>
          <w:color w:val="003300"/>
          <w:u w:val="single"/>
        </w:rPr>
        <w:t>Associations</w:t>
      </w:r>
      <w:r>
        <w:rPr>
          <w:color w:val="003300"/>
        </w:rPr>
        <w:t xml:space="preserve"> – </w:t>
      </w:r>
      <w:r>
        <w:rPr>
          <w:color w:val="003300"/>
        </w:rPr>
        <w:t>Des sanctions existent désormais pour les dirigeants qui ne publient pas les comptes.</w:t>
      </w:r>
    </w:p>
    <w:p w14:paraId="4DE6632A" w14:textId="33F598E3" w:rsidR="003C0719" w:rsidRPr="003C0719" w:rsidRDefault="003C0719" w:rsidP="003C0719">
      <w:pPr>
        <w:keepNext/>
        <w:spacing w:before="120" w:after="0" w:line="240" w:lineRule="auto"/>
        <w:ind w:left="567"/>
      </w:pPr>
      <w:hyperlink r:id="rId13" w:history="1">
        <w:r w:rsidRPr="003C0719">
          <w:rPr>
            <w:rStyle w:val="Lienhypertexte"/>
          </w:rPr>
          <w:t>Loi n° 2021-1109</w:t>
        </w:r>
      </w:hyperlink>
      <w:r w:rsidRPr="003C0719">
        <w:rPr>
          <w:color w:val="003300"/>
        </w:rPr>
        <w:t xml:space="preserve"> </w:t>
      </w:r>
      <w:r w:rsidRPr="003C0719">
        <w:t>du 24 août 2021 confortant le respect des principes de la République</w:t>
      </w:r>
      <w:r w:rsidRPr="003C0719">
        <w:t xml:space="preserve">, </w:t>
      </w:r>
      <w:r w:rsidRPr="003C0719">
        <w:t>art. 21, II</w:t>
      </w:r>
    </w:p>
    <w:p w14:paraId="0348C66A" w14:textId="0E6429CC" w:rsidR="0048009B" w:rsidRPr="00235330" w:rsidRDefault="00235330" w:rsidP="002F416C">
      <w:pPr>
        <w:spacing w:before="120" w:after="0" w:line="240" w:lineRule="auto"/>
        <w:rPr>
          <w:color w:val="003300"/>
        </w:rPr>
      </w:pPr>
      <w:r>
        <w:rPr>
          <w:color w:val="003300"/>
          <w:u w:val="single"/>
        </w:rPr>
        <w:t>Le logement social –</w:t>
      </w:r>
      <w:r>
        <w:rPr>
          <w:color w:val="003300"/>
        </w:rPr>
        <w:t xml:space="preserve"> Des adaptations au règles comptables.</w:t>
      </w:r>
    </w:p>
    <w:p w14:paraId="579221CC" w14:textId="07B347E4" w:rsidR="00235330" w:rsidRDefault="00235330" w:rsidP="00235330">
      <w:pPr>
        <w:spacing w:before="120" w:after="0" w:line="240" w:lineRule="auto"/>
        <w:ind w:left="567"/>
      </w:pPr>
      <w:hyperlink r:id="rId14" w:history="1">
        <w:r w:rsidRPr="00235330">
          <w:rPr>
            <w:rStyle w:val="Lienhypertexte"/>
          </w:rPr>
          <w:t>Règlement ANC N° 2021-08</w:t>
        </w:r>
      </w:hyperlink>
      <w:r w:rsidRPr="00235330">
        <w:t xml:space="preserve"> modifiant le règlement ANC N° 2015-04 relatif aux comptes annuels des organismes de logement social</w:t>
      </w:r>
    </w:p>
    <w:p w14:paraId="03D9A39D" w14:textId="77777777" w:rsidR="00235330" w:rsidRPr="00235330" w:rsidRDefault="00235330" w:rsidP="00235330">
      <w:pPr>
        <w:spacing w:before="120" w:after="0" w:line="240" w:lineRule="auto"/>
      </w:pPr>
    </w:p>
    <w:p w14:paraId="077EA3B3" w14:textId="1057619F"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337B0772" w14:textId="71564F23" w:rsidR="0048009B" w:rsidRDefault="00B40819" w:rsidP="004977FC">
      <w:pPr>
        <w:keepNext/>
        <w:spacing w:before="120" w:after="0" w:line="240" w:lineRule="auto"/>
        <w:rPr>
          <w:color w:val="003300"/>
        </w:rPr>
      </w:pPr>
      <w:r>
        <w:rPr>
          <w:color w:val="003300"/>
          <w:u w:val="single"/>
        </w:rPr>
        <w:t>Publicité</w:t>
      </w:r>
      <w:r>
        <w:rPr>
          <w:color w:val="003300"/>
        </w:rPr>
        <w:t xml:space="preserve"> – Les </w:t>
      </w:r>
      <w:r>
        <w:rPr>
          <w:color w:val="003300"/>
        </w:rPr>
        <w:t>actes des collectivités territoriales.</w:t>
      </w:r>
    </w:p>
    <w:p w14:paraId="1F146405" w14:textId="79E03FA5" w:rsidR="00B40819" w:rsidRPr="00B40819" w:rsidRDefault="00B40819" w:rsidP="00B40819">
      <w:pPr>
        <w:keepNext/>
        <w:spacing w:before="120" w:after="0" w:line="240" w:lineRule="auto"/>
        <w:ind w:left="567"/>
      </w:pPr>
      <w:hyperlink r:id="rId15" w:history="1">
        <w:r w:rsidRPr="00B40819">
          <w:rPr>
            <w:rStyle w:val="Lienhypertexte"/>
          </w:rPr>
          <w:t>Ordonnance n°</w:t>
        </w:r>
        <w:r w:rsidRPr="00B40819">
          <w:rPr>
            <w:rStyle w:val="Lienhypertexte"/>
          </w:rPr>
          <w:t xml:space="preserve"> </w:t>
        </w:r>
        <w:r w:rsidRPr="00B40819">
          <w:rPr>
            <w:rStyle w:val="Lienhypertexte"/>
          </w:rPr>
          <w:t>2021-1310</w:t>
        </w:r>
      </w:hyperlink>
      <w:r w:rsidRPr="00B40819">
        <w:t xml:space="preserve"> du 7 octobre 2021</w:t>
      </w:r>
      <w:r w:rsidRPr="00B40819">
        <w:t xml:space="preserve"> </w:t>
      </w:r>
      <w:r w:rsidRPr="00B40819">
        <w:t>portant réforme des règles de publicité, d'entrée en vigueur et de conservation des actes pris par les collectivités territoriales et leurs groupements</w:t>
      </w:r>
    </w:p>
    <w:p w14:paraId="1726F538" w14:textId="0C966A3A" w:rsidR="00B40819" w:rsidRPr="00B40819" w:rsidRDefault="00B40819" w:rsidP="00B40819">
      <w:pPr>
        <w:keepNext/>
        <w:spacing w:before="120" w:after="0" w:line="240" w:lineRule="auto"/>
        <w:ind w:left="567"/>
      </w:pPr>
      <w:hyperlink r:id="rId16" w:history="1">
        <w:r w:rsidRPr="00B40819">
          <w:rPr>
            <w:rStyle w:val="Lienhypertexte"/>
          </w:rPr>
          <w:t>Décret n°</w:t>
        </w:r>
        <w:r w:rsidRPr="00B40819">
          <w:rPr>
            <w:rStyle w:val="Lienhypertexte"/>
          </w:rPr>
          <w:t xml:space="preserve"> </w:t>
        </w:r>
        <w:r w:rsidRPr="00B40819">
          <w:rPr>
            <w:rStyle w:val="Lienhypertexte"/>
          </w:rPr>
          <w:t>2021-1311</w:t>
        </w:r>
      </w:hyperlink>
      <w:r w:rsidRPr="00B40819">
        <w:t xml:space="preserve"> du 7 octobre 2021</w:t>
      </w:r>
      <w:r>
        <w:t xml:space="preserve"> </w:t>
      </w:r>
      <w:r w:rsidRPr="00B40819">
        <w:t>portant réforme des règles de publicité, d'entrée en vigueur et de conservation des actes pris par les collectivités territoriales et leurs groupements</w:t>
      </w:r>
    </w:p>
    <w:p w14:paraId="17D13BC7" w14:textId="5EB727B4" w:rsidR="00E935A2" w:rsidRDefault="00AB002C" w:rsidP="004977FC">
      <w:pPr>
        <w:keepNext/>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64F2B7C8" w14:textId="74D140B7" w:rsidR="00440D9A" w:rsidRDefault="00B40819" w:rsidP="004977FC">
      <w:pPr>
        <w:keepNext/>
        <w:spacing w:before="120" w:after="0" w:line="240" w:lineRule="auto"/>
        <w:rPr>
          <w:color w:val="003300"/>
        </w:rPr>
      </w:pPr>
      <w:r w:rsidRPr="00022CC5">
        <w:rPr>
          <w:color w:val="003300"/>
          <w:u w:val="single"/>
        </w:rPr>
        <w:t>F</w:t>
      </w:r>
      <w:r w:rsidR="00022CC5" w:rsidRPr="00022CC5">
        <w:rPr>
          <w:color w:val="003300"/>
          <w:u w:val="single"/>
        </w:rPr>
        <w:t>orfait post stationnement</w:t>
      </w:r>
      <w:r>
        <w:rPr>
          <w:color w:val="003300"/>
        </w:rPr>
        <w:t xml:space="preserve"> – Le nid à contentieux</w:t>
      </w:r>
      <w:r w:rsidR="00022CC5">
        <w:rPr>
          <w:color w:val="003300"/>
        </w:rPr>
        <w:t xml:space="preserve"> la commune doit prouver qu’elle a mis la pénalité sur le pare-brise…</w:t>
      </w:r>
    </w:p>
    <w:p w14:paraId="502F7D88" w14:textId="18EC3AFB" w:rsidR="00B40819" w:rsidRPr="00022CC5" w:rsidRDefault="00022CC5" w:rsidP="00022CC5">
      <w:pPr>
        <w:keepNext/>
        <w:spacing w:before="120" w:after="0" w:line="240" w:lineRule="auto"/>
        <w:ind w:left="567"/>
      </w:pPr>
      <w:hyperlink r:id="rId17" w:history="1">
        <w:r w:rsidR="00B40819" w:rsidRPr="00022CC5">
          <w:rPr>
            <w:rStyle w:val="Lienhypertexte"/>
          </w:rPr>
          <w:t>Réponse Masson n° 19439</w:t>
        </w:r>
      </w:hyperlink>
      <w:r w:rsidR="00B40819" w:rsidRPr="00022CC5">
        <w:t>, JO Sénat 21/10/2021, p. 6026</w:t>
      </w:r>
    </w:p>
    <w:p w14:paraId="7D92344F" w14:textId="0CAD0703" w:rsidR="00331173" w:rsidRDefault="00331173" w:rsidP="00E3229F">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2378A3E1" w14:textId="1C0E2DAF" w:rsidR="00440D9A" w:rsidRDefault="00B6419C" w:rsidP="00022CC5">
      <w:pPr>
        <w:keepNext/>
        <w:spacing w:before="120" w:after="0" w:line="240" w:lineRule="auto"/>
        <w:rPr>
          <w:color w:val="003300"/>
        </w:rPr>
      </w:pPr>
      <w:r w:rsidRPr="00B6419C">
        <w:rPr>
          <w:color w:val="003300"/>
          <w:u w:val="single"/>
        </w:rPr>
        <w:t>Vente d’immeubles moins cher que leur valeur</w:t>
      </w:r>
      <w:r>
        <w:rPr>
          <w:color w:val="003300"/>
        </w:rPr>
        <w:t xml:space="preserve"> – Les communes peuvent le faire, mais seulement si les conditions exigées par la loi sont satisfaites</w:t>
      </w:r>
    </w:p>
    <w:p w14:paraId="475C81CA" w14:textId="120B353C" w:rsidR="00B6419C" w:rsidRPr="00B6419C" w:rsidRDefault="00B6419C" w:rsidP="00022CC5">
      <w:pPr>
        <w:keepNext/>
        <w:spacing w:before="120" w:after="0" w:line="240" w:lineRule="auto"/>
        <w:ind w:left="567"/>
      </w:pPr>
      <w:r w:rsidRPr="00B6419C">
        <w:t>CE 13-9-2021 n</w:t>
      </w:r>
      <w:r>
        <w:t>°</w:t>
      </w:r>
      <w:r w:rsidRPr="00B6419C">
        <w:t xml:space="preserve"> </w:t>
      </w:r>
      <w:hyperlink r:id="rId18" w:history="1">
        <w:r w:rsidRPr="00B6419C">
          <w:rPr>
            <w:rStyle w:val="Lienhypertexte"/>
          </w:rPr>
          <w:t>439653</w:t>
        </w:r>
      </w:hyperlink>
      <w:r w:rsidRPr="00B6419C">
        <w:t xml:space="preserve"> et </w:t>
      </w:r>
      <w:hyperlink r:id="rId19" w:history="1">
        <w:r w:rsidRPr="00B6419C">
          <w:rPr>
            <w:rStyle w:val="Lienhypertexte"/>
          </w:rPr>
          <w:t>439675</w:t>
        </w:r>
      </w:hyperlink>
      <w:r w:rsidRPr="00B6419C">
        <w:t xml:space="preserve">, </w:t>
      </w:r>
      <w:proofErr w:type="spellStart"/>
      <w:r w:rsidRPr="00B6419C">
        <w:t>Cne</w:t>
      </w:r>
      <w:proofErr w:type="spellEnd"/>
      <w:r w:rsidRPr="00B6419C">
        <w:t xml:space="preserve"> de Dourdan</w:t>
      </w:r>
    </w:p>
    <w:p w14:paraId="24D1A5D0" w14:textId="4E72C191" w:rsidR="005A17CC" w:rsidRPr="00142627" w:rsidRDefault="001F3614" w:rsidP="00022CC5">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07EEF9F1" w14:textId="69F02A04" w:rsidR="00B40819" w:rsidRDefault="00B40819" w:rsidP="00022CC5">
      <w:pPr>
        <w:keepNext/>
        <w:spacing w:before="120" w:after="0" w:line="240" w:lineRule="auto"/>
        <w:rPr>
          <w:color w:val="003300"/>
        </w:rPr>
      </w:pPr>
      <w:r w:rsidRPr="00B40819">
        <w:rPr>
          <w:color w:val="003300"/>
          <w:u w:val="single"/>
        </w:rPr>
        <w:t>Les piscines</w:t>
      </w:r>
      <w:r>
        <w:rPr>
          <w:color w:val="003300"/>
        </w:rPr>
        <w:t xml:space="preserve"> – Co</w:t>
      </w:r>
      <w:r w:rsidRPr="00022CC5">
        <w:rPr>
          <w:color w:val="003300"/>
        </w:rPr>
        <w:t>mmen</w:t>
      </w:r>
      <w:r>
        <w:rPr>
          <w:color w:val="003300"/>
        </w:rPr>
        <w:t>t coutent-elles ?</w:t>
      </w:r>
    </w:p>
    <w:p w14:paraId="3D88BD9D" w14:textId="14B4ADDF" w:rsidR="00B40819" w:rsidRPr="00B40819" w:rsidRDefault="00B40819" w:rsidP="00022CC5">
      <w:pPr>
        <w:keepNext/>
        <w:spacing w:before="120" w:after="0" w:line="240" w:lineRule="auto"/>
        <w:ind w:left="567"/>
      </w:pPr>
      <w:hyperlink r:id="rId20" w:history="1">
        <w:r w:rsidRPr="00B40819">
          <w:rPr>
            <w:rStyle w:val="Lienhypertexte"/>
          </w:rPr>
          <w:t>Cap sur…</w:t>
        </w:r>
        <w:r w:rsidRPr="00B40819">
          <w:rPr>
            <w:rStyle w:val="Lienhypertexte"/>
          </w:rPr>
          <w:t xml:space="preserve"> </w:t>
        </w:r>
        <w:r w:rsidRPr="00B40819">
          <w:rPr>
            <w:rStyle w:val="Lienhypertexte"/>
          </w:rPr>
          <w:t xml:space="preserve">Le coût de fonctionnement </w:t>
        </w:r>
        <w:r w:rsidRPr="00B40819">
          <w:rPr>
            <w:rStyle w:val="Lienhypertexte"/>
          </w:rPr>
          <w:t xml:space="preserve"> </w:t>
        </w:r>
        <w:r w:rsidRPr="00B40819">
          <w:rPr>
            <w:rStyle w:val="Lienhypertexte"/>
          </w:rPr>
          <w:t xml:space="preserve">des piscines communales et </w:t>
        </w:r>
        <w:r w:rsidRPr="00B40819">
          <w:rPr>
            <w:rStyle w:val="Lienhypertexte"/>
          </w:rPr>
          <w:t xml:space="preserve"> </w:t>
        </w:r>
        <w:r w:rsidRPr="00B40819">
          <w:rPr>
            <w:rStyle w:val="Lienhypertexte"/>
          </w:rPr>
          <w:t>intercommunales</w:t>
        </w:r>
      </w:hyperlink>
    </w:p>
    <w:p w14:paraId="7D278A4E" w14:textId="77777777" w:rsidR="00022CC5" w:rsidRDefault="00022CC5" w:rsidP="00022CC5">
      <w:pPr>
        <w:spacing w:before="120" w:after="0" w:line="240" w:lineRule="auto"/>
        <w:jc w:val="left"/>
        <w:rPr>
          <w:color w:val="003300"/>
        </w:rPr>
      </w:pPr>
      <w:r w:rsidRPr="00022CC5">
        <w:rPr>
          <w:color w:val="003300"/>
          <w:u w:val="single"/>
        </w:rPr>
        <w:t>Les finances des collectivités en 2020</w:t>
      </w:r>
      <w:r>
        <w:rPr>
          <w:color w:val="003300"/>
        </w:rPr>
        <w:t xml:space="preserve"> – Les chiffres.</w:t>
      </w:r>
    </w:p>
    <w:p w14:paraId="22BF125F" w14:textId="793BB5FD" w:rsidR="00022CC5" w:rsidRPr="00022CC5" w:rsidRDefault="00022CC5" w:rsidP="00022CC5">
      <w:pPr>
        <w:spacing w:before="120" w:after="0" w:line="240" w:lineRule="auto"/>
        <w:ind w:left="567"/>
        <w:jc w:val="left"/>
        <w:rPr>
          <w:color w:val="003300"/>
        </w:rPr>
      </w:pPr>
      <w:hyperlink r:id="rId21" w:history="1">
        <w:r w:rsidRPr="00022CC5">
          <w:rPr>
            <w:rStyle w:val="Lienhypertexte"/>
          </w:rPr>
          <w:t>Les comptes des collectivités</w:t>
        </w:r>
      </w:hyperlink>
    </w:p>
    <w:p w14:paraId="271EBC7E" w14:textId="77777777" w:rsidR="00022CC5" w:rsidRDefault="00022CC5">
      <w:pPr>
        <w:spacing w:before="0" w:after="0" w:line="240" w:lineRule="auto"/>
        <w:jc w:val="left"/>
      </w:pPr>
    </w:p>
    <w:p w14:paraId="6E1B19DF" w14:textId="710D5264" w:rsidR="00142627" w:rsidRDefault="00142627">
      <w:pPr>
        <w:spacing w:before="0" w:after="0" w:line="240" w:lineRule="auto"/>
        <w:jc w:val="left"/>
      </w:pPr>
      <w:r>
        <w:br w:type="page"/>
      </w:r>
    </w:p>
    <w:p w14:paraId="2649CADA" w14:textId="1971A653"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325FF470" w14:textId="77777777" w:rsidR="00D24F94" w:rsidRDefault="00D24F94" w:rsidP="00D24F94">
      <w:pPr>
        <w:pStyle w:val="NormalWeb"/>
        <w:shd w:val="clear" w:color="auto" w:fill="FFFFFF"/>
        <w:spacing w:before="0" w:after="150"/>
        <w:jc w:val="both"/>
      </w:pPr>
      <w:hyperlink r:id="rId22" w:tooltip="27/10/2021 : BIC - Dispositif d'exonération fiscale dans les zones franches d'activités nouvelle génération (ZFANG) - Modalités d'application du plafonnement des aides prévu par l'article 15 du règlement général d'exemption par catégorie (RGEC)" w:history="1">
        <w:r>
          <w:rPr>
            <w:rStyle w:val="Lienhypertexte"/>
          </w:rPr>
          <w:t>27/10/2021 : BIC - Dispositif d'exonération fiscale dans les zones franches d'activités nouvelle génération (ZFANG) - Modalités d'application du plafonnement des aides prévu par l'article 15 du règlement général d'exemption par catégorie (RGEC)</w:t>
        </w:r>
      </w:hyperlink>
    </w:p>
    <w:p w14:paraId="263136DE" w14:textId="77777777" w:rsidR="00D24F94" w:rsidRDefault="00D24F94" w:rsidP="00D24F94">
      <w:pPr>
        <w:pStyle w:val="NormalWeb"/>
        <w:shd w:val="clear" w:color="auto" w:fill="FFFFFF"/>
        <w:spacing w:before="0" w:after="150"/>
        <w:jc w:val="both"/>
      </w:pPr>
      <w:hyperlink r:id="rId23" w:tooltip="27/10/2021 : TFP - Extension du champ de la réduction de taux de la taxe sur les surfaces commerciales aux réseaux de magasins exploités sous une même enseigne (loi n° 2020-1721 du 29 décembre 2020 de finances pour 2021, art. 136) - Jurisprudences" w:history="1">
        <w:r>
          <w:rPr>
            <w:rStyle w:val="Lienhypertexte"/>
          </w:rPr>
          <w:t>27/10/2021 : TFP - Extension du champ de la réduction de taux de la taxe sur les surfaces commerciales aux réseaux de magasins exploités sous une même enseigne (loi n° 2020-1721 du 29 décembre 2020 de finances pour 2021, art. 136) - Jurisprudences</w:t>
        </w:r>
      </w:hyperlink>
    </w:p>
    <w:p w14:paraId="4912B5BE" w14:textId="77777777" w:rsidR="00D24F94" w:rsidRDefault="00D24F94" w:rsidP="00D24F94">
      <w:pPr>
        <w:pStyle w:val="NormalWeb"/>
        <w:shd w:val="clear" w:color="auto" w:fill="FFFFFF"/>
        <w:spacing w:before="0" w:after="150"/>
        <w:jc w:val="both"/>
      </w:pPr>
      <w:hyperlink r:id="rId24" w:tooltip="13/10/2021 : BIC - IS - BA - Prorogation de la déduction exceptionnelle en faveur des poids lourds et des véhicules utilitaires légers utilisant certaines sources d'énergies propres (loi n° 2021-1104 du 22 août 2021 portant lutte contre le dérèglement climatique et renforcement de la résilience face à ses effets, art. 133)" w:history="1">
        <w:r>
          <w:rPr>
            <w:rStyle w:val="Lienhypertexte"/>
          </w:rPr>
          <w:t>13/10/2021 : BIC - IS - BA - Prorogation de la déduction exceptionnelle en faveur des poids lourds et des véhicules utilitaires légers utilisant certaines sources d'énergies propres (loi n° 2021-1104 du 22 août 2021 portant lutte contre le dérèglement climatique et renforcement de la résilience face à ses effets, art. 133)</w:t>
        </w:r>
      </w:hyperlink>
    </w:p>
    <w:p w14:paraId="6DD324B8" w14:textId="77777777" w:rsidR="00D24F94" w:rsidRDefault="00D24F94" w:rsidP="00D24F94">
      <w:pPr>
        <w:pStyle w:val="NormalWeb"/>
        <w:shd w:val="clear" w:color="auto" w:fill="FFFFFF"/>
        <w:spacing w:before="0" w:after="150"/>
        <w:jc w:val="both"/>
      </w:pPr>
      <w:hyperlink r:id="rId25" w:tooltip="11/10/2021 : INT - Convention fiscale entre la France et le Luxembourg - Aménagement exceptionnel de la méthode d'élimination de la double imposition" w:history="1">
        <w:r>
          <w:rPr>
            <w:rStyle w:val="Lienhypertexte"/>
          </w:rPr>
          <w:t>11/10/2021 : INT - Convention fiscale entre la France et le Luxembourg - Aménagement exceptionnel de la méthode d'élimination de la double imposition</w:t>
        </w:r>
      </w:hyperlink>
    </w:p>
    <w:p w14:paraId="583499DC" w14:textId="77777777" w:rsidR="00D24F94" w:rsidRDefault="00D24F94" w:rsidP="00D24F94">
      <w:pPr>
        <w:pStyle w:val="NormalWeb"/>
        <w:shd w:val="clear" w:color="auto" w:fill="FFFFFF"/>
        <w:spacing w:before="0" w:after="150"/>
        <w:jc w:val="both"/>
      </w:pPr>
      <w:hyperlink r:id="rId26" w:tooltip="06/10/2021 : RPPM - FORM - Exonération de retenue à la source sur les revenus distribués par les sociétés françaises à certains organismes de placement collectif étrangers (CGI, art. 119 bis, 2) - Mise à jour suite à consultation publique" w:history="1">
        <w:r>
          <w:rPr>
            <w:rStyle w:val="Lienhypertexte"/>
          </w:rPr>
          <w:t>06/10/2021 : RPPM - FORM - Exonération de retenue à la source sur les revenus distribués par les sociétés françaises à certains organismes de placement collectif étrangers (CGI, art. 119 bis, 2) - Mise à jour suite à consultation publique</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27"/>
      <w:headerReference w:type="first" r:id="rId28"/>
      <w:footerReference w:type="first" r:id="rId29"/>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C5B90" w14:textId="77777777" w:rsidR="00664A54" w:rsidRDefault="00664A54">
      <w:r>
        <w:separator/>
      </w:r>
    </w:p>
  </w:endnote>
  <w:endnote w:type="continuationSeparator" w:id="0">
    <w:p w14:paraId="33060B8B" w14:textId="77777777" w:rsidR="00664A54" w:rsidRDefault="00664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B9159D8E-6883-4651-82CD-EB6D5BB7D4EB}"/>
    <w:embedBold r:id="rId2" w:fontKey="{0B45DD6A-2C4B-47FA-B5B0-7FA79E861634}"/>
    <w:embedItalic r:id="rId3" w:fontKey="{1D3D2CB1-1446-45BD-85E0-60CE779C5620}"/>
    <w:embedBoldItalic r:id="rId4" w:fontKey="{98DD584D-E1DB-4209-AE3B-3164F93764C7}"/>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AE662A3C-9B85-4456-A9D0-280BBCDD3D86}"/>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6" w:subsetted="1" w:fontKey="{A5EE438C-44B2-4DB1-A463-E486E99826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05959" w14:textId="77777777" w:rsidR="00664A54" w:rsidRDefault="00664A54">
      <w:r>
        <w:separator/>
      </w:r>
    </w:p>
  </w:footnote>
  <w:footnote w:type="continuationSeparator" w:id="0">
    <w:p w14:paraId="0D2B0C90" w14:textId="77777777" w:rsidR="00664A54" w:rsidRDefault="00664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58D99B80"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w:t>
          </w:r>
          <w:r w:rsidR="0048009B">
            <w:rPr>
              <w:noProof/>
              <w:sz w:val="20"/>
            </w:rPr>
            <w:t>10</w:t>
          </w:r>
          <w:r>
            <w:rPr>
              <w:sz w:val="20"/>
            </w:rPr>
            <w:fldChar w:fldCharType="end"/>
          </w:r>
        </w:p>
        <w:p w14:paraId="6D4A75FB" w14:textId="51668006"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48009B">
            <w:rPr>
              <w:sz w:val="20"/>
            </w:rPr>
            <w:t>1</w:t>
          </w:r>
          <w:r w:rsidR="0048009B" w:rsidRPr="0048009B">
            <w:rPr>
              <w:sz w:val="20"/>
              <w:vertAlign w:val="superscript"/>
            </w:rPr>
            <w:t>er</w:t>
          </w:r>
          <w:r w:rsidR="0048009B">
            <w:rPr>
              <w:sz w:val="20"/>
            </w:rPr>
            <w:t xml:space="preserve"> novembre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46" type="#_x0000_t75" style="width:3in;height:3in" o:bullet="t"/>
    </w:pict>
  </w:numPicBullet>
  <w:numPicBullet w:numPicBulletId="1">
    <w:pict>
      <v:shape id="_x0000_i5447" type="#_x0000_t75" style="width:3in;height:3in" o:bullet="t"/>
    </w:pict>
  </w:numPicBullet>
  <w:numPicBullet w:numPicBulletId="2">
    <w:pict>
      <v:shape id="_x0000_i5448" type="#_x0000_t75" style="width:3in;height:3in" o:bullet="t"/>
    </w:pict>
  </w:numPicBullet>
  <w:numPicBullet w:numPicBulletId="3">
    <w:pict>
      <v:shape id="_x0000_i5449" type="#_x0000_t75" style="width:3in;height:3in" o:bullet="t"/>
    </w:pict>
  </w:numPicBullet>
  <w:numPicBullet w:numPicBulletId="4">
    <w:pict>
      <v:shape id="_x0000_i5450" type="#_x0000_t75" style="width:3in;height:3in" o:bullet="t"/>
    </w:pict>
  </w:numPicBullet>
  <w:numPicBullet w:numPicBulletId="5">
    <w:pict>
      <v:shape id="_x0000_i5451" type="#_x0000_t75" style="width:3in;height:3in" o:bullet="t"/>
    </w:pict>
  </w:numPicBullet>
  <w:numPicBullet w:numPicBulletId="6">
    <w:pict>
      <v:shape id="_x0000_i5452" type="#_x0000_t75" style="width:3in;height:3in" o:bullet="t"/>
    </w:pict>
  </w:numPicBullet>
  <w:numPicBullet w:numPicBulletId="7">
    <w:pict>
      <v:shape id="_x0000_i5453" type="#_x0000_t75" style="width:3in;height:3in" o:bullet="t"/>
    </w:pict>
  </w:numPicBullet>
  <w:numPicBullet w:numPicBulletId="8">
    <w:pict>
      <v:shape id="_x0000_i5454" type="#_x0000_t75" style="width:3in;height:3in" o:bullet="t"/>
    </w:pict>
  </w:numPicBullet>
  <w:numPicBullet w:numPicBulletId="9">
    <w:pict>
      <v:shape id="_x0000_i5455" type="#_x0000_t75" style="width:3in;height:3in" o:bullet="t"/>
    </w:pict>
  </w:numPicBullet>
  <w:numPicBullet w:numPicBulletId="10">
    <w:pict>
      <v:shape id="_x0000_i5456" type="#_x0000_t75" style="width:3in;height:3in" o:bullet="t"/>
    </w:pict>
  </w:numPicBullet>
  <w:numPicBullet w:numPicBulletId="11">
    <w:pict>
      <v:shape id="_x0000_i5457" type="#_x0000_t75" style="width:3in;height:3in" o:bullet="t"/>
    </w:pict>
  </w:numPicBullet>
  <w:numPicBullet w:numPicBulletId="12">
    <w:pict>
      <v:shape id="_x0000_i5458" type="#_x0000_t75" style="width:3in;height:3in" o:bullet="t"/>
    </w:pict>
  </w:numPicBullet>
  <w:numPicBullet w:numPicBulletId="13">
    <w:pict>
      <v:shape id="_x0000_i5459" type="#_x0000_t75" style="width:3in;height:3in" o:bullet="t"/>
    </w:pict>
  </w:numPicBullet>
  <w:numPicBullet w:numPicBulletId="14">
    <w:pict>
      <v:shape id="_x0000_i5460" type="#_x0000_t75" style="width:3in;height:3in" o:bullet="t"/>
    </w:pict>
  </w:numPicBullet>
  <w:numPicBullet w:numPicBulletId="15">
    <w:pict>
      <v:shape id="_x0000_i5461" type="#_x0000_t75" style="width:3in;height:3in" o:bullet="t"/>
    </w:pict>
  </w:numPicBullet>
  <w:numPicBullet w:numPicBulletId="16">
    <w:pict>
      <v:shape id="_x0000_i5462" type="#_x0000_t75" style="width:3in;height:3in" o:bullet="t"/>
    </w:pict>
  </w:numPicBullet>
  <w:numPicBullet w:numPicBulletId="17">
    <w:pict>
      <v:shape id="_x0000_i5463" type="#_x0000_t75" style="width:3in;height:3in" o:bullet="t"/>
    </w:pict>
  </w:numPicBullet>
  <w:numPicBullet w:numPicBulletId="18">
    <w:pict>
      <v:shape id="_x0000_i5464" type="#_x0000_t75" style="width:3in;height:3in" o:bullet="t"/>
    </w:pict>
  </w:numPicBullet>
  <w:numPicBullet w:numPicBulletId="19">
    <w:pict>
      <v:shape id="_x0000_i54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1"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2"/>
  </w:num>
  <w:num w:numId="5">
    <w:abstractNumId w:val="26"/>
  </w:num>
  <w:num w:numId="6">
    <w:abstractNumId w:val="21"/>
  </w:num>
  <w:num w:numId="7">
    <w:abstractNumId w:val="7"/>
  </w:num>
  <w:num w:numId="8">
    <w:abstractNumId w:val="15"/>
  </w:num>
  <w:num w:numId="9">
    <w:abstractNumId w:val="20"/>
  </w:num>
  <w:num w:numId="10">
    <w:abstractNumId w:val="16"/>
  </w:num>
  <w:num w:numId="11">
    <w:abstractNumId w:val="13"/>
  </w:num>
  <w:num w:numId="12">
    <w:abstractNumId w:val="14"/>
  </w:num>
  <w:num w:numId="13">
    <w:abstractNumId w:val="33"/>
  </w:num>
  <w:num w:numId="14">
    <w:abstractNumId w:val="24"/>
  </w:num>
  <w:num w:numId="15">
    <w:abstractNumId w:val="27"/>
  </w:num>
  <w:num w:numId="16">
    <w:abstractNumId w:val="2"/>
  </w:num>
  <w:num w:numId="17">
    <w:abstractNumId w:val="28"/>
  </w:num>
  <w:num w:numId="18">
    <w:abstractNumId w:val="18"/>
  </w:num>
  <w:num w:numId="19">
    <w:abstractNumId w:val="23"/>
  </w:num>
  <w:num w:numId="20">
    <w:abstractNumId w:val="25"/>
  </w:num>
  <w:num w:numId="21">
    <w:abstractNumId w:val="29"/>
  </w:num>
  <w:num w:numId="22">
    <w:abstractNumId w:val="31"/>
  </w:num>
  <w:num w:numId="23">
    <w:abstractNumId w:val="4"/>
  </w:num>
  <w:num w:numId="24">
    <w:abstractNumId w:val="17"/>
  </w:num>
  <w:num w:numId="25">
    <w:abstractNumId w:val="8"/>
  </w:num>
  <w:num w:numId="26">
    <w:abstractNumId w:val="10"/>
  </w:num>
  <w:num w:numId="27">
    <w:abstractNumId w:val="19"/>
  </w:num>
  <w:num w:numId="28">
    <w:abstractNumId w:val="9"/>
  </w:num>
  <w:num w:numId="29">
    <w:abstractNumId w:val="3"/>
  </w:num>
  <w:num w:numId="30">
    <w:abstractNumId w:val="11"/>
  </w:num>
  <w:num w:numId="31">
    <w:abstractNumId w:val="34"/>
  </w:num>
  <w:num w:numId="32">
    <w:abstractNumId w:val="30"/>
  </w:num>
  <w:num w:numId="33">
    <w:abstractNumId w:val="1"/>
  </w:num>
  <w:num w:numId="34">
    <w:abstractNumId w:val="22"/>
    <w:lvlOverride w:ilvl="0">
      <w:startOverride w:val="17"/>
    </w:lvlOverride>
  </w:num>
  <w:num w:numId="35">
    <w:abstractNumId w:val="22"/>
    <w:lvlOverride w:ilvl="0">
      <w:startOverride w:val="18"/>
    </w:lvlOverride>
  </w:num>
  <w:num w:numId="36">
    <w:abstractNumId w:val="22"/>
    <w:lvlOverride w:ilvl="0">
      <w:startOverride w:val="19"/>
    </w:lvlOverride>
  </w:num>
  <w:num w:numId="37">
    <w:abstractNumId w:val="22"/>
    <w:lvlOverride w:ilvl="0">
      <w:startOverride w:val="20"/>
    </w:lvlOverride>
  </w:num>
  <w:num w:numId="38">
    <w:abstractNumId w:val="22"/>
    <w:lvlOverride w:ilvl="0">
      <w:startOverride w:val="21"/>
    </w:lvlOverride>
  </w:num>
  <w:num w:numId="39">
    <w:abstractNumId w:val="22"/>
    <w:lvlOverride w:ilvl="0">
      <w:startOverride w:val="22"/>
    </w:lvlOverride>
  </w:num>
  <w:num w:numId="40">
    <w:abstractNumId w:val="22"/>
    <w:lvlOverride w:ilvl="0">
      <w:startOverride w:val="23"/>
    </w:lvlOverride>
  </w:num>
  <w:num w:numId="4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719"/>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649"/>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24DE"/>
    <w:rsid w:val="00432754"/>
    <w:rsid w:val="00432C69"/>
    <w:rsid w:val="00432F68"/>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257E"/>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2041D"/>
    <w:rsid w:val="00A20ED3"/>
    <w:rsid w:val="00A212EE"/>
    <w:rsid w:val="00A2187C"/>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19C"/>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4F94"/>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3964778?init=true&amp;page=1&amp;query=loi+2021-1109&amp;searchField=ALL&amp;tab_selection=all" TargetMode="External"/><Relationship Id="rId13" Type="http://schemas.openxmlformats.org/officeDocument/2006/relationships/hyperlink" Target="https://www.legifrance.gouv.fr/jorf/id/JORFTEXT000043964778?init=true&amp;page=1&amp;query=loi+2021-1109&amp;searchField=ALL&amp;tab_selection=all" TargetMode="External"/><Relationship Id="rId18" Type="http://schemas.openxmlformats.org/officeDocument/2006/relationships/hyperlink" Target="https://www.legifrance.gouv.fr/ceta/id/CETATEXT000044041315?juridiction=CONSEIL_ETAT&amp;juridiction=COURS_APPEL&amp;juridiction=TRIBUNAL_ADMINISTATIF&amp;juridiction=TRIBUNAL_CONFLIT&amp;page=1&amp;pageSize=10&amp;query=439653&amp;searchField=ALL&amp;searchType=ALL&amp;sortValue=DATE_DESC&amp;tab_selection=cetat" TargetMode="External"/><Relationship Id="rId26" Type="http://schemas.openxmlformats.org/officeDocument/2006/relationships/hyperlink" Target="https://bofip.impots.gouv.fr/bofip/13343-PGP.html/ACTU-2021-00274" TargetMode="External"/><Relationship Id="rId3" Type="http://schemas.openxmlformats.org/officeDocument/2006/relationships/styles" Target="styles.xml"/><Relationship Id="rId21" Type="http://schemas.openxmlformats.org/officeDocument/2006/relationships/hyperlink" Target="https://www.impots.gouv.fr/cll/zf1/accueil/flux.ex;jsessionid=137F21FDF88BB8B437C582F9DF9A3731?_flowId=accueilcclloc-flow" TargetMode="External"/><Relationship Id="rId7" Type="http://schemas.openxmlformats.org/officeDocument/2006/relationships/endnotes" Target="endnotes.xml"/><Relationship Id="rId12" Type="http://schemas.openxmlformats.org/officeDocument/2006/relationships/hyperlink" Target="https://curia.europa.eu/juris/document/document.jsf?text=&amp;docid=243641&amp;pageIndex=0&amp;doclang=FR&amp;mode=lst&amp;dir=&amp;occ=first&amp;part=1&amp;cid=32173329" TargetMode="External"/><Relationship Id="rId17" Type="http://schemas.openxmlformats.org/officeDocument/2006/relationships/hyperlink" Target="https://www.senat.fr/basile/visio.do?id=qSEQ201219439&amp;idtable=q392536%7Cq392409%7Cq391714%7Cq391401%7Cq390629%7Cq390804%7Cq389688%7Cq389830%7Cq387937%7Cq387615&amp;_na=QE&amp;rch=qa&amp;de=20211015&amp;au=20211026&amp;dp=1+an&amp;radio=deau&amp;date=dateJORep&amp;appr=text&amp;aff=ar&amp;tri=dd&amp;off=30&amp;afd=ppr&amp;afd=ppl&amp;afd=pjl&amp;afd=cvn" TargetMode="External"/><Relationship Id="rId25" Type="http://schemas.openxmlformats.org/officeDocument/2006/relationships/hyperlink" Target="https://bofip.impots.gouv.fr/bofip/13355-PGP.html/ACTU-2021-00280" TargetMode="External"/><Relationship Id="rId2" Type="http://schemas.openxmlformats.org/officeDocument/2006/relationships/numbering" Target="numbering.xml"/><Relationship Id="rId16" Type="http://schemas.openxmlformats.org/officeDocument/2006/relationships/hyperlink" Target="https://www.legifrance.gouv.fr/jorf/id/JORFTEXT000044177190?init=true&amp;page=1&amp;query=2021-1311&amp;searchField=ALL&amp;tab_selection=all" TargetMode="External"/><Relationship Id="rId20" Type="http://schemas.openxmlformats.org/officeDocument/2006/relationships/hyperlink" Target="https://www.collectivites-locales.gouv.fr/files/Institution/1.%20organisation%20administraive/Organismes-consultatifs/OFGL/vf_ofgl_cap_sur_14_cout_fonctionnement_piscines_bloc_co.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ceta/id/CETATEXT000043726664?juridiction=CONSEIL_ETAT&amp;juridiction=COURS_APPEL&amp;juridiction=TRIBUNAL_ADMINISTATIF&amp;juridiction=TRIBUNAL_CONFLIT&amp;page=1&amp;pageSize=10&amp;query=442506&amp;searchField=ALL&amp;searchType=ALL&amp;sortValue=DATE_DESC&amp;tab_selection=cetat" TargetMode="External"/><Relationship Id="rId24" Type="http://schemas.openxmlformats.org/officeDocument/2006/relationships/hyperlink" Target="https://bofip.impots.gouv.fr/bofip/13303-PGP.html/ACTU-2021-00256" TargetMode="External"/><Relationship Id="rId5" Type="http://schemas.openxmlformats.org/officeDocument/2006/relationships/webSettings" Target="webSettings.xml"/><Relationship Id="rId15" Type="http://schemas.openxmlformats.org/officeDocument/2006/relationships/hyperlink" Target="https://www.legifrance.gouv.fr/jorf/id/JORFTEXT000044177138?init=true&amp;page=1&amp;query=2021-1310&amp;searchField=ALL&amp;tab_selection=all" TargetMode="External"/><Relationship Id="rId23" Type="http://schemas.openxmlformats.org/officeDocument/2006/relationships/hyperlink" Target="https://bofip.impots.gouv.fr/bofip/13182-PGP.html/ACTU-2021-00211" TargetMode="External"/><Relationship Id="rId28" Type="http://schemas.openxmlformats.org/officeDocument/2006/relationships/header" Target="header2.xml"/><Relationship Id="rId10" Type="http://schemas.openxmlformats.org/officeDocument/2006/relationships/hyperlink" Target="https://www.legifrance.gouv.fr/ceta/id/CETATEXT000044176742?juridiction=CONSEIL_ETAT&amp;juridiction=COURS_APPEL&amp;juridiction=TRIBUNAL_ADMINISTATIF&amp;juridiction=TRIBUNAL_CONFLIT&amp;page=1&amp;pageSize=10&amp;query=430136&amp;searchField=ALL&amp;searchType=ALL&amp;sortValue=DATE_DESC&amp;tab_selection=cetat" TargetMode="External"/><Relationship Id="rId19" Type="http://schemas.openxmlformats.org/officeDocument/2006/relationships/hyperlink" Target="https://www.legifrance.gouv.fr/ceta/id/CETATEXT000044041315?juridiction=CONSEIL_ETAT&amp;juridiction=COURS_APPEL&amp;juridiction=TRIBUNAL_ADMINISTATIF&amp;juridiction=TRIBUNAL_CONFLIT&amp;page=1&amp;pageSize=10&amp;query=439675&amp;searchField=ALL&amp;searchType=ALL&amp;sortValue=DATE_DESC&amp;tab_selection=ceta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ia.europa.eu/juris/liste.jsf?oqp=&amp;for=&amp;mat=or&amp;jge=&amp;td=%3BALL&amp;jur=C%2CT%2CF&amp;num=299%252F20&amp;page=1&amp;dates=&amp;pcs=Oor&amp;lg=&amp;pro=&amp;nat=or&amp;cit=none%252CC%252CCJ%252CR%252C2008E%252C%252C%252C%252C%252C%252C%252C%252C%252C%252Ctrue%252Cfalse%252Cfalse&amp;language=fr&amp;avg=&amp;cid=31535979" TargetMode="External"/><Relationship Id="rId14" Type="http://schemas.openxmlformats.org/officeDocument/2006/relationships/hyperlink" Target="https://www.anc.gouv.fr/files/live/sites/anc/files/contributed/ANC/1_Normes_fran%c3%a7aises/Reglements/2021/R2021_08/R2021_08.pdf" TargetMode="External"/><Relationship Id="rId22" Type="http://schemas.openxmlformats.org/officeDocument/2006/relationships/hyperlink" Target="https://bofip.impots.gouv.fr/bofip/13348-PGP.html/ACTU-2021-00277"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1692</Words>
  <Characters>9311</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10982</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57</cp:revision>
  <cp:lastPrinted>2020-08-04T09:31:00Z</cp:lastPrinted>
  <dcterms:created xsi:type="dcterms:W3CDTF">2021-03-04T15:01:00Z</dcterms:created>
  <dcterms:modified xsi:type="dcterms:W3CDTF">2021-11-01T15:04:00Z</dcterms:modified>
</cp:coreProperties>
</file>