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5C6E5008"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A57E3D">
              <w:rPr>
                <w:rFonts w:ascii="Times New Roman" w:eastAsia="Times New Roman" w:hAnsi="Times New Roman"/>
                <w:noProof/>
                <w:sz w:val="20"/>
              </w:rPr>
              <w:t>0</w:t>
            </w:r>
            <w:r w:rsidR="006E12CD">
              <w:rPr>
                <w:rFonts w:ascii="Times New Roman" w:eastAsia="Times New Roman" w:hAnsi="Times New Roman"/>
                <w:noProof/>
                <w:sz w:val="20"/>
              </w:rPr>
              <w:t>8</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7A7E3905" w:rsidR="003565C4" w:rsidRPr="00990583" w:rsidRDefault="00E911FE" w:rsidP="00E911FE">
            <w:pPr>
              <w:pStyle w:val="Corpsdetexte"/>
              <w:spacing w:before="0" w:after="0"/>
              <w:ind w:left="-8"/>
            </w:pPr>
            <w:r w:rsidRPr="00990583">
              <w:t>Paris</w:t>
            </w:r>
            <w:r w:rsidR="00B37B52" w:rsidRPr="00990583">
              <w:t xml:space="preserve">, le </w:t>
            </w:r>
            <w:r w:rsidR="00A02B88">
              <w:t>29</w:t>
            </w:r>
            <w:r w:rsidR="007971DD">
              <w:t xml:space="preserve"> août</w:t>
            </w:r>
            <w:r w:rsidR="00A57E3D" w:rsidRPr="00990583">
              <w:t xml:space="preserve"> 2021</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66DDE5AF" w:rsidR="00D1561B" w:rsidRDefault="00596118" w:rsidP="00A01213">
      <w:pPr>
        <w:spacing w:before="120" w:after="0" w:line="240" w:lineRule="auto"/>
        <w:ind w:left="1701" w:hanging="1701"/>
      </w:pPr>
      <w:r w:rsidRPr="00122165">
        <w:rPr>
          <w:b/>
        </w:rPr>
        <w:t>IS :</w:t>
      </w:r>
      <w:r w:rsidR="00D47E79">
        <w:t xml:space="preserve"> </w:t>
      </w:r>
      <w:r w:rsidR="00D47E79">
        <w:tab/>
      </w:r>
      <w:r w:rsidR="00DB4F9A">
        <w:t>Rien à signaler</w:t>
      </w:r>
    </w:p>
    <w:p w14:paraId="073D1CB1" w14:textId="69C16202" w:rsidR="00916F7D" w:rsidRDefault="00596118" w:rsidP="00A01213">
      <w:pPr>
        <w:spacing w:before="120" w:after="0" w:line="240" w:lineRule="auto"/>
        <w:ind w:left="1701" w:hanging="1701"/>
      </w:pPr>
      <w:r w:rsidRPr="00122165">
        <w:rPr>
          <w:b/>
        </w:rPr>
        <w:t>TVA :</w:t>
      </w:r>
      <w:r w:rsidR="00DB56D6">
        <w:t xml:space="preserve"> </w:t>
      </w:r>
      <w:r w:rsidR="00DB56D6">
        <w:tab/>
      </w:r>
      <w:r w:rsidR="00DB4F9A">
        <w:t>Rien à signaler</w:t>
      </w:r>
    </w:p>
    <w:p w14:paraId="4E8276DC" w14:textId="3AD9D519" w:rsidR="001261C0" w:rsidRDefault="00596118" w:rsidP="00A01213">
      <w:pPr>
        <w:spacing w:before="120" w:after="0" w:line="240" w:lineRule="auto"/>
        <w:ind w:left="1701" w:hanging="1701"/>
      </w:pPr>
      <w:r w:rsidRPr="00122165">
        <w:rPr>
          <w:b/>
        </w:rPr>
        <w:t>Locaux :</w:t>
      </w:r>
      <w:r w:rsidR="004A7406">
        <w:tab/>
      </w:r>
      <w:r w:rsidR="00DB4F9A">
        <w:t>Rien à signaler</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51D0E8E9" w:rsidR="00B50E23" w:rsidRDefault="00596118" w:rsidP="00A01213">
      <w:pPr>
        <w:spacing w:before="120" w:after="0" w:line="240" w:lineRule="auto"/>
        <w:ind w:left="1701" w:hanging="1701"/>
      </w:pPr>
      <w:r w:rsidRPr="00122165">
        <w:rPr>
          <w:b/>
        </w:rPr>
        <w:t>Divers</w:t>
      </w:r>
      <w:r w:rsidR="004A7406">
        <w:t xml:space="preserve"> :</w:t>
      </w:r>
      <w:r w:rsidR="004A7406">
        <w:tab/>
      </w:r>
      <w:r w:rsidR="00DB4F9A">
        <w:t>Rien à signaler</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02DB5805" w:rsidR="00B54BDA" w:rsidRDefault="00596118" w:rsidP="00A01213">
      <w:pPr>
        <w:spacing w:before="120" w:after="0" w:line="240" w:lineRule="auto"/>
        <w:ind w:left="1701" w:hanging="1701"/>
      </w:pPr>
      <w:r w:rsidRPr="00122165">
        <w:rPr>
          <w:b/>
        </w:rPr>
        <w:t>Publique :</w:t>
      </w:r>
      <w:r w:rsidR="00B00EF7">
        <w:t xml:space="preserve"> </w:t>
      </w:r>
      <w:r w:rsidR="00B00EF7">
        <w:tab/>
      </w:r>
      <w:r w:rsidR="00484256">
        <w:t>Rien à signaler</w:t>
      </w:r>
    </w:p>
    <w:p w14:paraId="5F6B1C19" w14:textId="00B0BA07" w:rsidR="005A391C" w:rsidRDefault="00596118" w:rsidP="00A01213">
      <w:pPr>
        <w:spacing w:before="120" w:after="0" w:line="240" w:lineRule="auto"/>
        <w:ind w:left="1701" w:hanging="1701"/>
      </w:pPr>
      <w:r w:rsidRPr="00122165">
        <w:rPr>
          <w:b/>
        </w:rPr>
        <w:t>Privée :</w:t>
      </w:r>
      <w:r w:rsidR="00B00EF7">
        <w:t xml:space="preserve"> </w:t>
      </w:r>
      <w:r w:rsidR="00B00EF7">
        <w:tab/>
      </w:r>
      <w:r w:rsidR="00DB4F9A">
        <w:t>Deux commissaires aux comptes pour les SAC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39235EA8" w:rsidR="00B54BDA" w:rsidRDefault="00596118" w:rsidP="00A01213">
      <w:pPr>
        <w:spacing w:before="120" w:after="0" w:line="240" w:lineRule="auto"/>
        <w:ind w:left="1701" w:hanging="1701"/>
      </w:pPr>
      <w:r w:rsidRPr="00122165">
        <w:rPr>
          <w:b/>
        </w:rPr>
        <w:t>Textes :</w:t>
      </w:r>
      <w:r>
        <w:t xml:space="preserve"> </w:t>
      </w:r>
      <w:r w:rsidR="00223947">
        <w:tab/>
      </w:r>
      <w:r w:rsidR="00DB4F9A">
        <w:t>Dématérialisation</w:t>
      </w:r>
      <w:r w:rsidR="00A02B88">
        <w:t xml:space="preserve"> </w:t>
      </w:r>
      <w:r w:rsidR="00DB4F9A">
        <w:t>des documents d’urbanisme -</w:t>
      </w:r>
    </w:p>
    <w:p w14:paraId="41468130" w14:textId="2A7C2322" w:rsidR="006B1E5F" w:rsidRDefault="00596118" w:rsidP="00A01213">
      <w:pPr>
        <w:spacing w:before="120" w:after="0" w:line="240" w:lineRule="auto"/>
        <w:ind w:left="1701" w:hanging="1701"/>
      </w:pPr>
      <w:r w:rsidRPr="00122165">
        <w:rPr>
          <w:b/>
        </w:rPr>
        <w:t>Réponses :</w:t>
      </w:r>
      <w:r>
        <w:t xml:space="preserve"> </w:t>
      </w:r>
      <w:r w:rsidR="00223947">
        <w:tab/>
      </w:r>
      <w:r w:rsidR="00E61F32">
        <w:t>Rien à signaler</w:t>
      </w:r>
    </w:p>
    <w:p w14:paraId="48D6DEFC" w14:textId="775CA4D7" w:rsidR="00CE269F" w:rsidRDefault="00596118" w:rsidP="00A01213">
      <w:pPr>
        <w:spacing w:before="120" w:after="0" w:line="240" w:lineRule="auto"/>
        <w:ind w:left="1701" w:hanging="1701"/>
      </w:pPr>
      <w:r w:rsidRPr="004E2169">
        <w:rPr>
          <w:b/>
          <w:spacing w:val="-8"/>
        </w:rPr>
        <w:t>Jurisprudence :</w:t>
      </w:r>
      <w:r>
        <w:t xml:space="preserve"> </w:t>
      </w:r>
      <w:r w:rsidR="00223947">
        <w:tab/>
      </w:r>
      <w:r w:rsidR="00E61F32">
        <w:t>Rien à signaler</w:t>
      </w:r>
    </w:p>
    <w:p w14:paraId="76354D80" w14:textId="45A21B96" w:rsidR="00004382" w:rsidRDefault="00596118" w:rsidP="00A01213">
      <w:pPr>
        <w:spacing w:before="120" w:after="0" w:line="240" w:lineRule="auto"/>
        <w:ind w:left="1701" w:hanging="1701"/>
      </w:pPr>
      <w:r w:rsidRPr="00122165">
        <w:rPr>
          <w:b/>
        </w:rPr>
        <w:t>Divers :</w:t>
      </w:r>
      <w:r>
        <w:t xml:space="preserve"> </w:t>
      </w:r>
      <w:r>
        <w:tab/>
      </w:r>
      <w:r w:rsidR="00A02B88">
        <w:t>Les comptes des communes – Les comptes des départements -</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2B5B0E82" w14:textId="77777777" w:rsidR="00DB4F9A" w:rsidRPr="00E3229F" w:rsidRDefault="00DB4F9A" w:rsidP="00DB4F9A">
      <w:pPr>
        <w:keepNext/>
        <w:spacing w:before="120" w:after="0" w:line="240" w:lineRule="auto"/>
        <w:rPr>
          <w:rFonts w:cs="Times"/>
          <w:color w:val="003300"/>
          <w:szCs w:val="24"/>
          <w:u w:val="single"/>
        </w:rPr>
      </w:pPr>
      <w:r>
        <w:rPr>
          <w:color w:val="003300"/>
        </w:rPr>
        <w:t>Rien à signaler</w:t>
      </w:r>
    </w:p>
    <w:p w14:paraId="62E80419" w14:textId="2BC5083D"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3A35FA0D" w14:textId="47ED238D" w:rsidR="006E12CD" w:rsidRDefault="00DB4F9A" w:rsidP="006320BB">
      <w:pPr>
        <w:keepNext/>
        <w:spacing w:before="120" w:after="0" w:line="240" w:lineRule="auto"/>
        <w:rPr>
          <w:rFonts w:cs="Times"/>
          <w:color w:val="003300"/>
          <w:szCs w:val="24"/>
          <w:u w:val="single"/>
        </w:rPr>
      </w:pPr>
      <w:r>
        <w:rPr>
          <w:color w:val="003300"/>
        </w:rPr>
        <w:t>Rien à signaler</w:t>
      </w:r>
    </w:p>
    <w:p w14:paraId="6CE58C92" w14:textId="13A19DF8"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35D1EB14" w14:textId="5F485DCE" w:rsidR="006E12CD" w:rsidRPr="00DB4F9A" w:rsidRDefault="00DB4F9A" w:rsidP="00DB4F9A">
      <w:pPr>
        <w:keepNext/>
        <w:spacing w:before="120" w:after="0" w:line="240" w:lineRule="auto"/>
        <w:rPr>
          <w:rFonts w:cs="Times"/>
          <w:color w:val="003300"/>
          <w:szCs w:val="24"/>
          <w:u w:val="single"/>
        </w:rPr>
      </w:pPr>
      <w:r>
        <w:rPr>
          <w:color w:val="003300"/>
        </w:rPr>
        <w:t>Rien à signaler</w:t>
      </w:r>
    </w:p>
    <w:p w14:paraId="034CD263" w14:textId="43C69F16" w:rsidR="00426AED" w:rsidRPr="00D61BAB" w:rsidRDefault="00426AED" w:rsidP="00426A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6F4269BE" w14:textId="3EEF8D79" w:rsidR="007E1F47" w:rsidRPr="00E3229F" w:rsidRDefault="00E3229F" w:rsidP="00E3229F">
      <w:pPr>
        <w:keepNext/>
        <w:spacing w:before="120" w:after="0" w:line="240" w:lineRule="auto"/>
        <w:rPr>
          <w:rFonts w:cs="Times"/>
          <w:color w:val="003300"/>
          <w:szCs w:val="24"/>
          <w:u w:val="single"/>
        </w:rPr>
      </w:pPr>
      <w:r>
        <w:rPr>
          <w:color w:val="003300"/>
        </w:rPr>
        <w:t>Rien à signaler</w:t>
      </w:r>
    </w:p>
    <w:p w14:paraId="20AC9049" w14:textId="4EA0B02B"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4BF4D7D5" w14:textId="182E6BE0" w:rsidR="00BD7137" w:rsidRPr="00DB4F9A" w:rsidRDefault="00DB4F9A" w:rsidP="00BD7137">
      <w:pPr>
        <w:keepNext/>
        <w:spacing w:before="120" w:after="0" w:line="240" w:lineRule="auto"/>
        <w:rPr>
          <w:rFonts w:cs="Times"/>
          <w:color w:val="003300"/>
          <w:szCs w:val="24"/>
          <w:u w:val="single"/>
        </w:rPr>
      </w:pPr>
      <w:r>
        <w:rPr>
          <w:color w:val="003300"/>
        </w:rPr>
        <w:t>Rien à signaler</w:t>
      </w:r>
    </w:p>
    <w:p w14:paraId="5380879D" w14:textId="77777777" w:rsidR="006E12CD" w:rsidRDefault="006E12CD" w:rsidP="00BD7137">
      <w:pPr>
        <w:keepNext/>
        <w:spacing w:before="120" w:after="0" w:line="240" w:lineRule="auto"/>
        <w:rPr>
          <w:color w:val="003300"/>
        </w:rPr>
      </w:pPr>
    </w:p>
    <w:p w14:paraId="20C76B2E" w14:textId="3C1CB255" w:rsidR="00E935A2" w:rsidRPr="006320BB" w:rsidRDefault="00E935A2" w:rsidP="00484256">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484256">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614D6138" w14:textId="77777777" w:rsidR="00484256" w:rsidRDefault="00484256" w:rsidP="00484256">
      <w:pPr>
        <w:keepNext/>
        <w:spacing w:before="120" w:after="0" w:line="240" w:lineRule="auto"/>
        <w:rPr>
          <w:rFonts w:cs="Times"/>
          <w:color w:val="003300"/>
          <w:szCs w:val="24"/>
          <w:u w:val="single"/>
        </w:rPr>
      </w:pPr>
      <w:r>
        <w:rPr>
          <w:color w:val="003300"/>
        </w:rPr>
        <w:t>Rien à signaler</w:t>
      </w:r>
    </w:p>
    <w:p w14:paraId="1E12E0B0" w14:textId="1342CEEC" w:rsidR="00925661" w:rsidRDefault="00E935A2" w:rsidP="00484256">
      <w:pPr>
        <w:keepNext/>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27FFDE57" w14:textId="60710540" w:rsidR="00DB4F9A" w:rsidRDefault="00DB4F9A" w:rsidP="00DB4F9A">
      <w:pPr>
        <w:keepNext/>
        <w:spacing w:before="120" w:after="0" w:line="240" w:lineRule="auto"/>
        <w:rPr>
          <w:rFonts w:cs="Times"/>
          <w:color w:val="003300"/>
          <w:szCs w:val="24"/>
          <w:u w:val="single"/>
        </w:rPr>
      </w:pPr>
      <w:r w:rsidRPr="00DB4F9A">
        <w:rPr>
          <w:color w:val="003300"/>
          <w:u w:val="single"/>
        </w:rPr>
        <w:t xml:space="preserve">SAC </w:t>
      </w:r>
      <w:r>
        <w:rPr>
          <w:color w:val="003300"/>
        </w:rPr>
        <w:t>– Obligation de nommer deux commissaires aux comptes.</w:t>
      </w:r>
    </w:p>
    <w:p w14:paraId="12B64D54" w14:textId="3B4BB78D" w:rsidR="004E3C13" w:rsidRPr="00DB4F9A" w:rsidRDefault="00DB4F9A" w:rsidP="00DB4F9A">
      <w:pPr>
        <w:spacing w:before="120" w:after="0" w:line="240" w:lineRule="auto"/>
        <w:ind w:left="567"/>
        <w:rPr>
          <w:color w:val="003300"/>
        </w:rPr>
      </w:pPr>
      <w:r>
        <w:rPr>
          <w:color w:val="003300"/>
        </w:rPr>
        <w:object w:dxaOrig="1538" w:dyaOrig="993" w14:anchorId="73061177">
          <v:shape id="_x0000_i1046" type="#_x0000_t75" style="width:55.5pt;height:35.25pt;mso-position-horizontal:absolute" o:ole="">
            <v:imagedata r:id="rId8" o:title=""/>
          </v:shape>
          <o:OLEObject Type="Embed" ProgID="AcroExch.Document.DC" ShapeID="_x0000_i1046" DrawAspect="Icon" ObjectID="_1691760182" r:id="rId9"/>
        </w:object>
      </w:r>
      <w:r w:rsidRPr="00DB4F9A">
        <w:rPr>
          <w:color w:val="003300"/>
        </w:rPr>
        <w:t>EJ 2020-41</w:t>
      </w:r>
    </w:p>
    <w:p w14:paraId="00129F50" w14:textId="77777777" w:rsidR="006E12CD" w:rsidRDefault="006E12CD" w:rsidP="002F416C">
      <w:pPr>
        <w:spacing w:before="120" w:after="0" w:line="240" w:lineRule="auto"/>
        <w:rPr>
          <w:rFonts w:cs="Times"/>
          <w:b/>
          <w:szCs w:val="24"/>
        </w:rPr>
      </w:pPr>
    </w:p>
    <w:p w14:paraId="077EA3B3" w14:textId="331DA100"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7DA0F62B" w14:textId="13E03DAC" w:rsidR="006E12CD" w:rsidRDefault="005406C6" w:rsidP="00E3229F">
      <w:pPr>
        <w:spacing w:before="120" w:after="0" w:line="240" w:lineRule="auto"/>
        <w:rPr>
          <w:color w:val="003300"/>
        </w:rPr>
      </w:pPr>
      <w:r>
        <w:rPr>
          <w:color w:val="003300"/>
          <w:u w:val="single"/>
        </w:rPr>
        <w:t>Dématérialisation</w:t>
      </w:r>
      <w:r>
        <w:rPr>
          <w:color w:val="003300"/>
        </w:rPr>
        <w:t xml:space="preserve"> – L’urbanisme s’y met…</w:t>
      </w:r>
    </w:p>
    <w:p w14:paraId="68AC8CD0" w14:textId="77777777" w:rsidR="005406C6" w:rsidRPr="005406C6" w:rsidRDefault="001818D6" w:rsidP="005406C6">
      <w:pPr>
        <w:spacing w:before="120" w:after="0" w:line="240" w:lineRule="auto"/>
        <w:ind w:left="567"/>
        <w:rPr>
          <w:rFonts w:ascii="Times New Roman" w:eastAsia="Times New Roman" w:hAnsi="Times New Roman"/>
          <w:color w:val="000000"/>
          <w:szCs w:val="24"/>
        </w:rPr>
      </w:pPr>
      <w:hyperlink r:id="rId10" w:tgtFrame="_blank" w:tooltip="Ouvrir " w:history="1">
        <w:r w:rsidR="005406C6" w:rsidRPr="005406C6">
          <w:rPr>
            <w:rStyle w:val="Lienhypertexte"/>
            <w:rFonts w:ascii="Times New Roman" w:hAnsi="Times New Roman"/>
            <w:color w:val="24297E"/>
            <w:szCs w:val="24"/>
          </w:rPr>
          <w:t>Décret n° 2021-981 du 23 juillet 2021 </w:t>
        </w:r>
      </w:hyperlink>
      <w:r w:rsidR="005406C6" w:rsidRPr="005406C6">
        <w:rPr>
          <w:rFonts w:ascii="Times New Roman" w:hAnsi="Times New Roman"/>
          <w:color w:val="000000"/>
          <w:szCs w:val="24"/>
        </w:rPr>
        <w:t>portant diverses mesures relatives aux échanges électroniques en matière de formalité d'urbanisme - NOR : LOGL2106382D</w:t>
      </w:r>
    </w:p>
    <w:p w14:paraId="7CF1131E" w14:textId="6F79B462" w:rsidR="005406C6" w:rsidRPr="00DB4F9A" w:rsidRDefault="001818D6" w:rsidP="00DB4F9A">
      <w:pPr>
        <w:spacing w:before="120" w:after="0" w:line="240" w:lineRule="auto"/>
        <w:ind w:left="567"/>
        <w:rPr>
          <w:rFonts w:ascii="Times New Roman" w:hAnsi="Times New Roman"/>
          <w:color w:val="000000"/>
          <w:szCs w:val="24"/>
        </w:rPr>
      </w:pPr>
      <w:hyperlink r:id="rId11" w:tgtFrame="_blank" w:tooltip="Ouvrir " w:history="1">
        <w:r w:rsidR="005406C6" w:rsidRPr="005406C6">
          <w:rPr>
            <w:rStyle w:val="Lienhypertexte"/>
            <w:rFonts w:ascii="Times New Roman" w:hAnsi="Times New Roman"/>
            <w:color w:val="24297E"/>
            <w:szCs w:val="24"/>
          </w:rPr>
          <w:t>Arrêté du 27 juillet 2021</w:t>
        </w:r>
      </w:hyperlink>
      <w:r w:rsidR="005406C6" w:rsidRPr="005406C6">
        <w:rPr>
          <w:rFonts w:ascii="Times New Roman" w:hAnsi="Times New Roman"/>
          <w:color w:val="000000"/>
          <w:szCs w:val="24"/>
        </w:rPr>
        <w:t> relatif aux modalités de mise en œuvre des téléprocédures et à la plateforme de partage et d'échange pour le traitement dématérialisé des demandes d'autorisation d'urbanisme - NOR : LOGL2106395A</w:t>
      </w:r>
    </w:p>
    <w:p w14:paraId="17D13BC7" w14:textId="4A5D7010" w:rsidR="00E935A2" w:rsidRDefault="00AB002C" w:rsidP="00E3229F">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64F2B7C8" w14:textId="6C0A05FE" w:rsidR="00440D9A" w:rsidRPr="007971DD" w:rsidRDefault="007971DD" w:rsidP="00E3229F">
      <w:pPr>
        <w:keepNext/>
        <w:spacing w:before="120" w:after="0" w:line="240" w:lineRule="auto"/>
        <w:rPr>
          <w:color w:val="003300"/>
        </w:rPr>
      </w:pPr>
      <w:r w:rsidRPr="007971DD">
        <w:rPr>
          <w:color w:val="003300"/>
        </w:rPr>
        <w:t>Rien à signaler</w:t>
      </w:r>
    </w:p>
    <w:p w14:paraId="7D92344F" w14:textId="0CAD0703" w:rsidR="00331173" w:rsidRDefault="00331173" w:rsidP="00E3229F">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2378A3E1" w14:textId="69C172AD" w:rsidR="00440D9A" w:rsidRPr="007971DD" w:rsidRDefault="007971DD" w:rsidP="007971DD">
      <w:pPr>
        <w:keepNext/>
        <w:spacing w:before="120" w:after="0" w:line="240" w:lineRule="auto"/>
        <w:rPr>
          <w:color w:val="003300"/>
        </w:rPr>
      </w:pPr>
      <w:r w:rsidRPr="007971DD">
        <w:rPr>
          <w:color w:val="003300"/>
        </w:rPr>
        <w:t>Rien à signaler</w:t>
      </w:r>
    </w:p>
    <w:p w14:paraId="24D1A5D0" w14:textId="4E72C191" w:rsidR="005A17CC" w:rsidRPr="00142627" w:rsidRDefault="001F3614" w:rsidP="000F2418">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682EF7F" w14:textId="77777777" w:rsidR="000F2418" w:rsidRDefault="000F2418" w:rsidP="000F2418">
      <w:pPr>
        <w:spacing w:before="120" w:after="0" w:line="240" w:lineRule="auto"/>
        <w:rPr>
          <w:color w:val="003300"/>
        </w:rPr>
      </w:pPr>
      <w:r w:rsidRPr="000F2418">
        <w:rPr>
          <w:color w:val="003300"/>
          <w:u w:val="single"/>
        </w:rPr>
        <w:t>Les finances publiques</w:t>
      </w:r>
      <w:r>
        <w:rPr>
          <w:color w:val="003300"/>
        </w:rPr>
        <w:t xml:space="preserve"> – Quelques données et statistiques.</w:t>
      </w:r>
    </w:p>
    <w:p w14:paraId="5C19988A" w14:textId="5148DFE0" w:rsidR="000F2418" w:rsidRDefault="001818D6" w:rsidP="000F2418">
      <w:pPr>
        <w:spacing w:before="120" w:after="0" w:line="240" w:lineRule="auto"/>
        <w:ind w:left="567"/>
      </w:pPr>
      <w:hyperlink r:id="rId12" w:history="1">
        <w:r w:rsidR="000F2418" w:rsidRPr="000F2418">
          <w:rPr>
            <w:rStyle w:val="Lienhypertexte"/>
          </w:rPr>
          <w:t>Les communes en 2020</w:t>
        </w:r>
      </w:hyperlink>
    </w:p>
    <w:p w14:paraId="73C1734E" w14:textId="316C42E4" w:rsidR="000F2418" w:rsidRPr="000F2418" w:rsidRDefault="001818D6" w:rsidP="000F2418">
      <w:pPr>
        <w:spacing w:before="120" w:after="0" w:line="240" w:lineRule="auto"/>
        <w:ind w:left="567"/>
      </w:pPr>
      <w:hyperlink r:id="rId13" w:history="1">
        <w:r w:rsidR="000F2418" w:rsidRPr="000F2418">
          <w:rPr>
            <w:rStyle w:val="Lienhypertexte"/>
          </w:rPr>
          <w:t>Les départements de 2015 à 2021</w:t>
        </w:r>
      </w:hyperlink>
    </w:p>
    <w:p w14:paraId="49FF24B9" w14:textId="2310C017" w:rsidR="005A17CC" w:rsidRDefault="005A17CC" w:rsidP="005A17CC">
      <w:pPr>
        <w:keepNext/>
        <w:spacing w:before="120" w:after="0" w:line="240" w:lineRule="auto"/>
        <w:rPr>
          <w:color w:val="003300"/>
          <w:u w:val="single"/>
        </w:rPr>
      </w:pPr>
    </w:p>
    <w:p w14:paraId="54A5FE8E" w14:textId="77777777" w:rsidR="006E12CD" w:rsidRDefault="006E12CD" w:rsidP="005A17CC">
      <w:pPr>
        <w:keepNext/>
        <w:spacing w:before="120" w:after="0" w:line="240" w:lineRule="auto"/>
        <w:rPr>
          <w:rFonts w:cs="Times"/>
          <w:color w:val="003300"/>
          <w:szCs w:val="24"/>
        </w:rPr>
      </w:pPr>
    </w:p>
    <w:p w14:paraId="27A2CE17" w14:textId="47DAD480" w:rsidR="005A17CC" w:rsidRDefault="001818D6" w:rsidP="005A17CC">
      <w:pPr>
        <w:keepNext/>
        <w:spacing w:before="120" w:after="0" w:line="240" w:lineRule="auto"/>
        <w:rPr>
          <w:rFonts w:cs="Times"/>
          <w:color w:val="003300"/>
          <w:szCs w:val="24"/>
        </w:rPr>
      </w:pPr>
      <w:hyperlink r:id="rId14" w:history="1">
        <w:r w:rsidR="005A17CC">
          <w:rPr>
            <w:rStyle w:val="Lienhypertexte"/>
            <w:rFonts w:ascii="Arial" w:hAnsi="Arial" w:cs="Arial"/>
            <w:b/>
            <w:bCs/>
            <w:color w:val="FFFFFF"/>
            <w:sz w:val="25"/>
            <w:szCs w:val="25"/>
          </w:rPr>
          <w:t>Les chiffres du recensement de la commande publique 2019</w:t>
        </w:r>
      </w:hyperlink>
    </w:p>
    <w:p w14:paraId="6E1B19DF" w14:textId="77777777" w:rsidR="00142627" w:rsidRDefault="00142627">
      <w:pPr>
        <w:spacing w:before="0" w:after="0" w:line="240" w:lineRule="auto"/>
        <w:jc w:val="left"/>
      </w:pPr>
      <w:r>
        <w:br w:type="page"/>
      </w:r>
    </w:p>
    <w:p w14:paraId="2649CADA" w14:textId="15E808CB"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06D5AB85" w14:textId="77777777" w:rsidR="0018066E" w:rsidRDefault="0018066E" w:rsidP="0018066E">
      <w:pPr>
        <w:pStyle w:val="NormalWeb"/>
        <w:shd w:val="clear" w:color="auto" w:fill="FFFFFF"/>
        <w:spacing w:before="0" w:after="150"/>
        <w:jc w:val="both"/>
        <w:rPr>
          <w:rFonts w:ascii="Open Sans" w:hAnsi="Open Sans" w:cs="Open Sans"/>
          <w:color w:val="333333"/>
          <w:sz w:val="21"/>
          <w:szCs w:val="21"/>
        </w:rPr>
      </w:pPr>
      <w:hyperlink r:id="rId15" w:tooltip="25/08/2021 : BIC - Aménagements du dispositif de crédit d'impôt pour investissements en Corse prévu à l'article 244 quater E du CGI (loi n° 2019-486 du 22 mai 2019 relative à la croissance et la transformation des entreprises, art. 12 ; loi n° 2019-1479 du 28 décembre 2019 de finances pour 2020, art. 41 et 57 ; loi n° 2020-1721 du 29 décembre 2020 de finances pour 2021, art. 24) ; prolongation du dispositif (loi n° 2020-935 du 30 juillet 2020 de finances rectificative pour 2020, art. 46) ; précisions sur le champ du dispositif" w:history="1">
        <w:r>
          <w:rPr>
            <w:rStyle w:val="Lienhypertexte"/>
            <w:rFonts w:ascii="Open Sans" w:hAnsi="Open Sans" w:cs="Open Sans"/>
            <w:sz w:val="21"/>
            <w:szCs w:val="21"/>
          </w:rPr>
          <w:t>25/08/2021 : BIC - Aménagements du dispositif de crédit d'impôt pour investissements en Corse prévu à l'article 244 quater E du CGI (loi n° 2019-486 du 22 mai 2019 relative à la croissance et la transformation des entreprises, art. 12 ; loi n° 2019-1479 du 28 décembre 2019 de finances pour 2020, art. 41 et 57 ; loi n° 2020-1721 du 29 décembre 2020 de finances pour 2021, art. 24) ; prolongation du dispositif (loi n° 2020-935 du 30 juillet 2020 de finances rectificative pour 2020, art. 46) ; précisions sur le champ du dispositif</w:t>
        </w:r>
      </w:hyperlink>
    </w:p>
    <w:p w14:paraId="4E21B10F" w14:textId="77777777" w:rsidR="0018066E" w:rsidRDefault="0018066E" w:rsidP="0018066E">
      <w:pPr>
        <w:pStyle w:val="NormalWeb"/>
        <w:shd w:val="clear" w:color="auto" w:fill="FFFFFF"/>
        <w:spacing w:before="0" w:after="150"/>
        <w:jc w:val="both"/>
        <w:rPr>
          <w:rFonts w:ascii="Open Sans" w:hAnsi="Open Sans" w:cs="Open Sans"/>
          <w:color w:val="333333"/>
          <w:sz w:val="21"/>
          <w:szCs w:val="21"/>
        </w:rPr>
      </w:pPr>
      <w:hyperlink r:id="rId16" w:tooltip="23/08/2021 : IS - Aménagement temporaire du dispositif de report en arrière des déficits subis par les entreprises passibles de l'impôt sur les sociétés (loi n° 2021-953 du 19 juillet 2021 de finances rectificative pour 2021, art. 1) (Entreprises - Publication urgente)" w:history="1">
        <w:r>
          <w:rPr>
            <w:rStyle w:val="Lienhypertexte"/>
            <w:rFonts w:ascii="Open Sans" w:hAnsi="Open Sans" w:cs="Open Sans"/>
            <w:sz w:val="21"/>
            <w:szCs w:val="21"/>
          </w:rPr>
          <w:t>23/08/2021 : IS - Aménagement temporaire du dispositif de report en arrière des déficits subis par les entreprises passibles de l'impôt sur les sociétés (loi n° 2021-953 du 19 juillet 2021 de finances rectificative pour 2021, art. 1) (Entreprises - Publication urgente)</w:t>
        </w:r>
      </w:hyperlink>
    </w:p>
    <w:p w14:paraId="3979C990" w14:textId="77777777" w:rsidR="00885A0C" w:rsidRDefault="001818D6" w:rsidP="00885A0C">
      <w:pPr>
        <w:pStyle w:val="NormalWeb"/>
        <w:shd w:val="clear" w:color="auto" w:fill="FFFFFF"/>
        <w:spacing w:before="0" w:after="150"/>
        <w:jc w:val="both"/>
        <w:rPr>
          <w:rFonts w:ascii="Open Sans" w:hAnsi="Open Sans" w:cs="Open Sans"/>
          <w:color w:val="333333"/>
          <w:sz w:val="21"/>
          <w:szCs w:val="21"/>
        </w:rPr>
      </w:pPr>
      <w:hyperlink r:id="rId17" w:tooltip="13/08/2021 : BIC - TVA - Consultation publique - Paquet TVA sur le commerce électronique - Réforme des règles de TVA applicables aux opérations du commerce électronique (loi n° 2020-1721 du 29 décembre 2020 de finances pour 2021, art. 51 ; loi n° 2019-1479 du " w:history="1">
        <w:r w:rsidR="00885A0C">
          <w:rPr>
            <w:rStyle w:val="Lienhypertexte"/>
            <w:rFonts w:ascii="Open Sans" w:hAnsi="Open Sans" w:cs="Open Sans"/>
            <w:sz w:val="21"/>
            <w:szCs w:val="21"/>
          </w:rPr>
          <w:t>13/08/2021 : BIC - TVA - Consultation publique - Paquet TVA sur le commerce électronique - Réforme des règles de TVA applicables aux opérations du commerce électronique (loi n° 2020-1721 du 29 décembre 2020 de finances pour 2021, art. 51 ; loi n° 2019-1479 du 28 décembre 2019 de finances pour 2020, art. 147) (Entreprises - Publication urgente)</w:t>
        </w:r>
      </w:hyperlink>
    </w:p>
    <w:p w14:paraId="103668D1" w14:textId="77777777" w:rsidR="00885A0C" w:rsidRDefault="001818D6" w:rsidP="00885A0C">
      <w:pPr>
        <w:pStyle w:val="NormalWeb"/>
        <w:shd w:val="clear" w:color="auto" w:fill="FFFFFF"/>
        <w:spacing w:before="0" w:after="150"/>
        <w:jc w:val="both"/>
        <w:rPr>
          <w:rFonts w:ascii="Open Sans" w:hAnsi="Open Sans" w:cs="Open Sans"/>
          <w:color w:val="333333"/>
          <w:sz w:val="21"/>
          <w:szCs w:val="21"/>
        </w:rPr>
      </w:pPr>
      <w:hyperlink r:id="rId18" w:tooltip="11/08/2021 : BA - Retrait de commentaires relatifs à l'exonération partielle d'impôt sur le revenu en faveur des " w:history="1">
        <w:r w:rsidR="00885A0C">
          <w:rPr>
            <w:rStyle w:val="Lienhypertexte"/>
            <w:rFonts w:ascii="Open Sans" w:hAnsi="Open Sans" w:cs="Open Sans"/>
            <w:sz w:val="21"/>
            <w:szCs w:val="21"/>
          </w:rPr>
          <w:t>11/08/2021 : BA - Retrait de commentaires relatifs à l'exonération partielle d'impôt sur le revenu en faveur des « impatriés » exerçant une activité pouvant être agricole (loi n° 2016-1917 du 29 décembre 2016 de finances pour 2017, art. 71)</w:t>
        </w:r>
      </w:hyperlink>
    </w:p>
    <w:p w14:paraId="125FC2B1" w14:textId="77777777" w:rsidR="00885A0C" w:rsidRDefault="001818D6" w:rsidP="00885A0C">
      <w:pPr>
        <w:pStyle w:val="NormalWeb"/>
        <w:shd w:val="clear" w:color="auto" w:fill="FFFFFF"/>
        <w:spacing w:before="0" w:after="150"/>
        <w:jc w:val="both"/>
        <w:rPr>
          <w:rFonts w:ascii="Open Sans" w:hAnsi="Open Sans" w:cs="Open Sans"/>
          <w:color w:val="333333"/>
          <w:sz w:val="21"/>
          <w:szCs w:val="21"/>
        </w:rPr>
      </w:pPr>
      <w:hyperlink r:id="rId19" w:tooltip="11/08/2021 : IS - Régime fiscal des groupes de sociétés - Utilisation du déficit d'ensemble, des charges financières nettes non déduites et de la capacité de déduction des charges financières inemployée, provenant de sociétés absorbées ou scindées au sein d'un" w:history="1">
        <w:r w:rsidR="00885A0C">
          <w:rPr>
            <w:rStyle w:val="Lienhypertexte"/>
            <w:rFonts w:ascii="Open Sans" w:hAnsi="Open Sans" w:cs="Open Sans"/>
            <w:sz w:val="21"/>
            <w:szCs w:val="21"/>
          </w:rPr>
          <w:t>11/08/2021 : IS - Régime fiscal des groupes de sociétés - Utilisation du déficit d'ensemble, des charges financières nettes non déduites et de la capacité de déduction des charges financières inemployée, provenant de sociétés absorbées ou scindées au sein d'un groupe faisant l'objet d'une restructuration (loi n° 2020-1721 du 29 décembre 2020 de finances pour 2021, art. 30)</w:t>
        </w:r>
      </w:hyperlink>
    </w:p>
    <w:p w14:paraId="7EBCAC94" w14:textId="77777777" w:rsidR="00885A0C" w:rsidRDefault="001818D6" w:rsidP="00885A0C">
      <w:pPr>
        <w:pStyle w:val="NormalWeb"/>
        <w:shd w:val="clear" w:color="auto" w:fill="FFFFFF"/>
        <w:spacing w:before="0" w:after="150"/>
        <w:jc w:val="both"/>
        <w:rPr>
          <w:rFonts w:ascii="Open Sans" w:hAnsi="Open Sans" w:cs="Open Sans"/>
          <w:color w:val="333333"/>
          <w:sz w:val="21"/>
          <w:szCs w:val="21"/>
        </w:rPr>
      </w:pPr>
      <w:hyperlink r:id="rId20" w:tooltip="11/08/2021 : IS - Crédit d'impôt pour dépenses de production exécutive d'œuvres cinématographiques et audiovisuelles - Prorogation du dispositif, plafonnement de certaines dépenses éligibles et ajout d'un taux majoré pour les œuvres de fiction à forts effets v" w:history="1">
        <w:r w:rsidR="00885A0C">
          <w:rPr>
            <w:rStyle w:val="Lienhypertexte"/>
            <w:rFonts w:ascii="Open Sans" w:hAnsi="Open Sans" w:cs="Open Sans"/>
            <w:sz w:val="21"/>
            <w:szCs w:val="21"/>
          </w:rPr>
          <w:t>11/08/2021 : IS - Crédit d'impôt pour dépenses de production exécutive d'œuvres cinématographiques et audiovisuelles - Prorogation du dispositif, plafonnement de certaines dépenses éligibles et ajout d'un taux majoré pour les œuvres de fiction à forts effets visuels (loi n° 2020-1721 du 29 décembre 2020, art. 146 et loi n° 2019-1479 du 29 décembre 2019, art. 131 et 138)</w:t>
        </w:r>
      </w:hyperlink>
    </w:p>
    <w:p w14:paraId="2735B762" w14:textId="77777777" w:rsidR="00885A0C" w:rsidRDefault="001818D6" w:rsidP="00885A0C">
      <w:pPr>
        <w:pStyle w:val="NormalWeb"/>
        <w:shd w:val="clear" w:color="auto" w:fill="FFFFFF"/>
        <w:spacing w:before="0" w:after="150"/>
        <w:jc w:val="both"/>
        <w:rPr>
          <w:rFonts w:ascii="Open Sans" w:hAnsi="Open Sans" w:cs="Open Sans"/>
          <w:color w:val="333333"/>
          <w:sz w:val="21"/>
          <w:szCs w:val="21"/>
        </w:rPr>
      </w:pPr>
      <w:hyperlink r:id="rId21" w:tooltip="04/08/2021 : Exonération de cotisation foncière des entreprises des établissements publics de santé pour leurs activités à caractère sanitaire - Activités constituant l'accessoire ou le prolongement indispensable des soins - Conseil d'Etat, 7 mars 2014, n° 372" w:history="1">
        <w:r w:rsidR="00885A0C">
          <w:rPr>
            <w:rStyle w:val="Lienhypertexte"/>
            <w:rFonts w:ascii="Open Sans" w:hAnsi="Open Sans" w:cs="Open Sans"/>
            <w:sz w:val="21"/>
            <w:szCs w:val="21"/>
          </w:rPr>
          <w:t>04/08/2021 : Exonération de cotisation foncière des entreprises des établissements publics de santé pour leurs activités à caractère sanitaire - Activités constituant l'accessoire ou le prolongement indispensable des soins - Conseil d'Etat, 7 mars 2014, n° 372897</w:t>
        </w:r>
      </w:hyperlink>
    </w:p>
    <w:p w14:paraId="310E3039" w14:textId="383FF266" w:rsidR="002F368F" w:rsidRPr="002F368F" w:rsidRDefault="002F368F" w:rsidP="002F368F">
      <w:pPr>
        <w:pStyle w:val="NormalWeb"/>
        <w:shd w:val="clear" w:color="auto" w:fill="FFFFFF"/>
        <w:spacing w:before="0" w:after="150"/>
        <w:jc w:val="both"/>
        <w:rPr>
          <w:rFonts w:ascii="Open Sans" w:hAnsi="Open Sans" w:cs="Open Sans"/>
          <w:color w:val="333333"/>
          <w:sz w:val="20"/>
          <w:szCs w:val="20"/>
        </w:rPr>
      </w:pPr>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22"/>
      <w:headerReference w:type="first" r:id="rId23"/>
      <w:footerReference w:type="first" r:id="rId24"/>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E7F0B" w14:textId="77777777" w:rsidR="001818D6" w:rsidRDefault="001818D6">
      <w:r>
        <w:separator/>
      </w:r>
    </w:p>
  </w:endnote>
  <w:endnote w:type="continuationSeparator" w:id="0">
    <w:p w14:paraId="66A0BC52" w14:textId="77777777" w:rsidR="001818D6" w:rsidRDefault="0018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0F1EF7AC-E808-4B61-B9EB-27974D82CD79}"/>
    <w:embedBold r:id="rId2" w:fontKey="{84FBE2BE-4730-4D79-B852-51E98A41C8EF}"/>
    <w:embedBoldItalic r:id="rId3" w:fontKey="{8F4CC448-A4EC-4369-BEC4-C721194F9723}"/>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C64F571E-899D-4F01-A080-48D78C325652}"/>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FD225EB3-F9FD-4E6D-89EC-9D65F27C16D9}"/>
  </w:font>
  <w:font w:name="Open Sans">
    <w:panose1 w:val="020B0606030504020204"/>
    <w:charset w:val="00"/>
    <w:family w:val="swiss"/>
    <w:pitch w:val="variable"/>
    <w:sig w:usb0="E00002EF" w:usb1="4000205B" w:usb2="00000028" w:usb3="00000000" w:csb0="0000019F" w:csb1="00000000"/>
    <w:embedRegular r:id="rId6" w:fontKey="{046A436F-FC00-4F43-8226-D3BC962814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6C6CF" w14:textId="77777777" w:rsidR="001818D6" w:rsidRDefault="001818D6">
      <w:r>
        <w:separator/>
      </w:r>
    </w:p>
  </w:footnote>
  <w:footnote w:type="continuationSeparator" w:id="0">
    <w:p w14:paraId="2236AF87" w14:textId="77777777" w:rsidR="001818D6" w:rsidRDefault="00181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067F8393"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Pr>
              <w:noProof/>
              <w:sz w:val="20"/>
            </w:rPr>
            <w:t>Comptes-La revue -2021-0</w:t>
          </w:r>
          <w:r w:rsidR="006E12CD">
            <w:rPr>
              <w:noProof/>
              <w:sz w:val="20"/>
            </w:rPr>
            <w:t>8</w:t>
          </w:r>
          <w:r>
            <w:rPr>
              <w:sz w:val="20"/>
            </w:rPr>
            <w:fldChar w:fldCharType="end"/>
          </w:r>
        </w:p>
        <w:p w14:paraId="6D4A75FB" w14:textId="2914BA95"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DB4F9A">
            <w:rPr>
              <w:sz w:val="20"/>
            </w:rPr>
            <w:t>29</w:t>
          </w:r>
          <w:r w:rsidR="007971DD">
            <w:rPr>
              <w:sz w:val="20"/>
            </w:rPr>
            <w:t xml:space="preserve"> août</w:t>
          </w:r>
          <w:r w:rsidR="00101E9F">
            <w:rPr>
              <w:sz w:val="20"/>
            </w:rPr>
            <w:t xml:space="preserv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3in;height:3in" o:bullet="t"/>
    </w:pict>
  </w:numPicBullet>
  <w:numPicBullet w:numPicBulletId="1">
    <w:pict>
      <v:shape id="_x0000_i1207" type="#_x0000_t75" style="width:3in;height:3in" o:bullet="t"/>
    </w:pict>
  </w:numPicBullet>
  <w:numPicBullet w:numPicBulletId="2">
    <w:pict>
      <v:shape id="_x0000_i1208" type="#_x0000_t75" style="width:3in;height:3in" o:bullet="t"/>
    </w:pict>
  </w:numPicBullet>
  <w:numPicBullet w:numPicBulletId="3">
    <w:pict>
      <v:shape id="_x0000_i1209" type="#_x0000_t75" style="width:3in;height:3in" o:bullet="t"/>
    </w:pict>
  </w:numPicBullet>
  <w:numPicBullet w:numPicBulletId="4">
    <w:pict>
      <v:shape id="_x0000_i1210" type="#_x0000_t75" style="width:3in;height:3in" o:bullet="t"/>
    </w:pict>
  </w:numPicBullet>
  <w:numPicBullet w:numPicBulletId="5">
    <w:pict>
      <v:shape id="_x0000_i1211" type="#_x0000_t75" style="width:3in;height:3in" o:bullet="t"/>
    </w:pict>
  </w:numPicBullet>
  <w:numPicBullet w:numPicBulletId="6">
    <w:pict>
      <v:shape id="_x0000_i1212" type="#_x0000_t75" style="width:3in;height:3in" o:bullet="t"/>
    </w:pict>
  </w:numPicBullet>
  <w:numPicBullet w:numPicBulletId="7">
    <w:pict>
      <v:shape id="_x0000_i1213" type="#_x0000_t75" style="width:3in;height:3in" o:bullet="t"/>
    </w:pict>
  </w:numPicBullet>
  <w:numPicBullet w:numPicBulletId="8">
    <w:pict>
      <v:shape id="_x0000_i1214" type="#_x0000_t75" style="width:3in;height:3in" o:bullet="t"/>
    </w:pict>
  </w:numPicBullet>
  <w:numPicBullet w:numPicBulletId="9">
    <w:pict>
      <v:shape id="_x0000_i1215" type="#_x0000_t75" style="width:3in;height:3in" o:bullet="t"/>
    </w:pict>
  </w:numPicBullet>
  <w:numPicBullet w:numPicBulletId="10">
    <w:pict>
      <v:shape id="_x0000_i1216" type="#_x0000_t75" style="width:3in;height:3in" o:bullet="t"/>
    </w:pict>
  </w:numPicBullet>
  <w:numPicBullet w:numPicBulletId="11">
    <w:pict>
      <v:shape id="_x0000_i1217" type="#_x0000_t75" style="width:3in;height:3in" o:bullet="t"/>
    </w:pict>
  </w:numPicBullet>
  <w:numPicBullet w:numPicBulletId="12">
    <w:pict>
      <v:shape id="_x0000_i1218" type="#_x0000_t75" style="width:3in;height:3in" o:bullet="t"/>
    </w:pict>
  </w:numPicBullet>
  <w:numPicBullet w:numPicBulletId="13">
    <w:pict>
      <v:shape id="_x0000_i1219" type="#_x0000_t75" style="width:3in;height:3in" o:bullet="t"/>
    </w:pict>
  </w:numPicBullet>
  <w:numPicBullet w:numPicBulletId="14">
    <w:pict>
      <v:shape id="_x0000_i1220" type="#_x0000_t75" style="width:3in;height:3in" o:bullet="t"/>
    </w:pict>
  </w:numPicBullet>
  <w:numPicBullet w:numPicBulletId="15">
    <w:pict>
      <v:shape id="_x0000_i1221" type="#_x0000_t75" style="width:3in;height:3in" o:bullet="t"/>
    </w:pict>
  </w:numPicBullet>
  <w:numPicBullet w:numPicBulletId="16">
    <w:pict>
      <v:shape id="_x0000_i1222" type="#_x0000_t75" style="width:3in;height:3in" o:bullet="t"/>
    </w:pict>
  </w:numPicBullet>
  <w:numPicBullet w:numPicBulletId="17">
    <w:pict>
      <v:shape id="_x0000_i1223" type="#_x0000_t75" style="width:3in;height:3in" o:bullet="t"/>
    </w:pict>
  </w:numPicBullet>
  <w:numPicBullet w:numPicBulletId="18">
    <w:pict>
      <v:shape id="_x0000_i1224" type="#_x0000_t75" style="width:3in;height:3in" o:bullet="t"/>
    </w:pict>
  </w:numPicBullet>
  <w:numPicBullet w:numPicBulletId="19">
    <w:pict>
      <v:shape id="_x0000_i122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1"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2"/>
  </w:num>
  <w:num w:numId="5">
    <w:abstractNumId w:val="26"/>
  </w:num>
  <w:num w:numId="6">
    <w:abstractNumId w:val="21"/>
  </w:num>
  <w:num w:numId="7">
    <w:abstractNumId w:val="7"/>
  </w:num>
  <w:num w:numId="8">
    <w:abstractNumId w:val="15"/>
  </w:num>
  <w:num w:numId="9">
    <w:abstractNumId w:val="20"/>
  </w:num>
  <w:num w:numId="10">
    <w:abstractNumId w:val="16"/>
  </w:num>
  <w:num w:numId="11">
    <w:abstractNumId w:val="13"/>
  </w:num>
  <w:num w:numId="12">
    <w:abstractNumId w:val="14"/>
  </w:num>
  <w:num w:numId="13">
    <w:abstractNumId w:val="33"/>
  </w:num>
  <w:num w:numId="14">
    <w:abstractNumId w:val="24"/>
  </w:num>
  <w:num w:numId="15">
    <w:abstractNumId w:val="27"/>
  </w:num>
  <w:num w:numId="16">
    <w:abstractNumId w:val="2"/>
  </w:num>
  <w:num w:numId="17">
    <w:abstractNumId w:val="28"/>
  </w:num>
  <w:num w:numId="18">
    <w:abstractNumId w:val="18"/>
  </w:num>
  <w:num w:numId="19">
    <w:abstractNumId w:val="23"/>
  </w:num>
  <w:num w:numId="20">
    <w:abstractNumId w:val="25"/>
  </w:num>
  <w:num w:numId="21">
    <w:abstractNumId w:val="29"/>
  </w:num>
  <w:num w:numId="22">
    <w:abstractNumId w:val="31"/>
  </w:num>
  <w:num w:numId="23">
    <w:abstractNumId w:val="4"/>
  </w:num>
  <w:num w:numId="24">
    <w:abstractNumId w:val="17"/>
  </w:num>
  <w:num w:numId="25">
    <w:abstractNumId w:val="8"/>
  </w:num>
  <w:num w:numId="26">
    <w:abstractNumId w:val="10"/>
  </w:num>
  <w:num w:numId="27">
    <w:abstractNumId w:val="19"/>
  </w:num>
  <w:num w:numId="28">
    <w:abstractNumId w:val="9"/>
  </w:num>
  <w:num w:numId="29">
    <w:abstractNumId w:val="3"/>
  </w:num>
  <w:num w:numId="30">
    <w:abstractNumId w:val="11"/>
  </w:num>
  <w:num w:numId="31">
    <w:abstractNumId w:val="34"/>
  </w:num>
  <w:num w:numId="32">
    <w:abstractNumId w:val="30"/>
  </w:num>
  <w:num w:numId="33">
    <w:abstractNumId w:val="1"/>
  </w:num>
  <w:num w:numId="34">
    <w:abstractNumId w:val="22"/>
    <w:lvlOverride w:ilvl="0">
      <w:startOverride w:val="17"/>
    </w:lvlOverride>
  </w:num>
  <w:num w:numId="35">
    <w:abstractNumId w:val="22"/>
    <w:lvlOverride w:ilvl="0">
      <w:startOverride w:val="18"/>
    </w:lvlOverride>
  </w:num>
  <w:num w:numId="36">
    <w:abstractNumId w:val="22"/>
    <w:lvlOverride w:ilvl="0">
      <w:startOverride w:val="19"/>
    </w:lvlOverride>
  </w:num>
  <w:num w:numId="37">
    <w:abstractNumId w:val="22"/>
    <w:lvlOverride w:ilvl="0">
      <w:startOverride w:val="20"/>
    </w:lvlOverride>
  </w:num>
  <w:num w:numId="38">
    <w:abstractNumId w:val="22"/>
    <w:lvlOverride w:ilvl="0">
      <w:startOverride w:val="21"/>
    </w:lvlOverride>
  </w:num>
  <w:num w:numId="39">
    <w:abstractNumId w:val="22"/>
    <w:lvlOverride w:ilvl="0">
      <w:startOverride w:val="22"/>
    </w:lvlOverride>
  </w:num>
  <w:num w:numId="40">
    <w:abstractNumId w:val="22"/>
    <w:lvlOverride w:ilvl="0">
      <w:startOverride w:val="23"/>
    </w:lvlOverride>
  </w:num>
  <w:num w:numId="4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0DE8"/>
    <w:rsid w:val="00081001"/>
    <w:rsid w:val="00084540"/>
    <w:rsid w:val="00084B1E"/>
    <w:rsid w:val="00090564"/>
    <w:rsid w:val="00090E39"/>
    <w:rsid w:val="00091823"/>
    <w:rsid w:val="00091C56"/>
    <w:rsid w:val="000933BB"/>
    <w:rsid w:val="0009376D"/>
    <w:rsid w:val="00094A9B"/>
    <w:rsid w:val="00097B99"/>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66B"/>
    <w:rsid w:val="002857CF"/>
    <w:rsid w:val="00285E77"/>
    <w:rsid w:val="002863CA"/>
    <w:rsid w:val="00290E48"/>
    <w:rsid w:val="002913D8"/>
    <w:rsid w:val="00292773"/>
    <w:rsid w:val="00292A50"/>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A3"/>
    <w:rsid w:val="003B70C5"/>
    <w:rsid w:val="003B715D"/>
    <w:rsid w:val="003C0356"/>
    <w:rsid w:val="003C0A8D"/>
    <w:rsid w:val="003C2F94"/>
    <w:rsid w:val="003C300E"/>
    <w:rsid w:val="003C3102"/>
    <w:rsid w:val="003C380A"/>
    <w:rsid w:val="003C4CF0"/>
    <w:rsid w:val="003C5765"/>
    <w:rsid w:val="003C576E"/>
    <w:rsid w:val="003D2EBE"/>
    <w:rsid w:val="003D3492"/>
    <w:rsid w:val="003D36E0"/>
    <w:rsid w:val="003D50FE"/>
    <w:rsid w:val="003D66A1"/>
    <w:rsid w:val="003D67EC"/>
    <w:rsid w:val="003D703C"/>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EB"/>
    <w:rsid w:val="0042642B"/>
    <w:rsid w:val="00426620"/>
    <w:rsid w:val="004269B3"/>
    <w:rsid w:val="00426AED"/>
    <w:rsid w:val="004270D6"/>
    <w:rsid w:val="004274B5"/>
    <w:rsid w:val="00427B66"/>
    <w:rsid w:val="00430286"/>
    <w:rsid w:val="00430F52"/>
    <w:rsid w:val="0043114C"/>
    <w:rsid w:val="004324DE"/>
    <w:rsid w:val="00432754"/>
    <w:rsid w:val="00432C69"/>
    <w:rsid w:val="00432F68"/>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57BA"/>
    <w:rsid w:val="004763DE"/>
    <w:rsid w:val="0047692A"/>
    <w:rsid w:val="00477C56"/>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8D1"/>
    <w:rsid w:val="00497923"/>
    <w:rsid w:val="00497E8E"/>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12CD"/>
    <w:rsid w:val="006E2068"/>
    <w:rsid w:val="006E239A"/>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52CA"/>
    <w:rsid w:val="007A5811"/>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B07"/>
    <w:rsid w:val="00A16C9A"/>
    <w:rsid w:val="00A2041D"/>
    <w:rsid w:val="00A20ED3"/>
    <w:rsid w:val="00A212EE"/>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1844"/>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ollectivites-locales.gouv.fr/files/Accueil/DESL/2021/BIS/BIS_155_Finances%20Dept_2015-2021.pdf" TargetMode="External"/><Relationship Id="rId18" Type="http://schemas.openxmlformats.org/officeDocument/2006/relationships/hyperlink" Target="https://bofip.impots.gouv.fr/bofip/13177-PGP.html/ACTU-2021-0020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ofip.impots.gouv.fr/bofip/13227-PGP.html/ACTU-2021-00231" TargetMode="External"/><Relationship Id="rId7" Type="http://schemas.openxmlformats.org/officeDocument/2006/relationships/endnotes" Target="endnotes.xml"/><Relationship Id="rId12" Type="http://schemas.openxmlformats.org/officeDocument/2006/relationships/hyperlink" Target="https://www.collectivites-locales.gouv.fr/files/Accueil/DESL/2021/BIS/BIS%20154%20communes%202020.pdf" TargetMode="External"/><Relationship Id="rId17" Type="http://schemas.openxmlformats.org/officeDocument/2006/relationships/hyperlink" Target="https://bofip.impots.gouv.fr/bofip/13176-PGP.html/ACTU-2021-0020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ofip.impots.gouv.fr/bofip/13161-PGP.html/ACTU-2021-00204" TargetMode="External"/><Relationship Id="rId20" Type="http://schemas.openxmlformats.org/officeDocument/2006/relationships/hyperlink" Target="https://bofip.impots.gouv.fr/bofip/13013-PGP.html/ACTU-2021-001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france.gouv.fr/eli/arrete/2021/7/27/LOGL2106395A/jo/text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ofip.impots.gouv.fr/bofip/13213-PGP.html/ACTU-2021-00223" TargetMode="External"/><Relationship Id="rId23" Type="http://schemas.openxmlformats.org/officeDocument/2006/relationships/header" Target="header2.xml"/><Relationship Id="rId10" Type="http://schemas.openxmlformats.org/officeDocument/2006/relationships/hyperlink" Target="http://www.legifrance.gouv.fr/eli/decret/2021/7/23/2021-981/jo/texte" TargetMode="External"/><Relationship Id="rId19" Type="http://schemas.openxmlformats.org/officeDocument/2006/relationships/hyperlink" Target="https://bofip.impots.gouv.fr/bofip/12993-PGP.html/ACTU-2021-0014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economie.gouv.fr/files/files/directions_services/daj/marches_publics/oecp/recensement/ppt-recensement%20chiffres%202019.pdf"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4</Pages>
  <Words>1152</Words>
  <Characters>6342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7480</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46</cp:revision>
  <cp:lastPrinted>2020-08-04T09:31:00Z</cp:lastPrinted>
  <dcterms:created xsi:type="dcterms:W3CDTF">2021-03-04T15:01:00Z</dcterms:created>
  <dcterms:modified xsi:type="dcterms:W3CDTF">2021-08-29T14:37:00Z</dcterms:modified>
</cp:coreProperties>
</file>