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7F2EF7C4"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9311BB">
              <w:rPr>
                <w:rFonts w:ascii="Times New Roman" w:eastAsia="Times New Roman" w:hAnsi="Times New Roman"/>
                <w:noProof/>
                <w:sz w:val="20"/>
              </w:rPr>
              <w:t>6</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1A2051BB" w:rsidR="003565C4" w:rsidRPr="00990583" w:rsidRDefault="00E911FE" w:rsidP="00E911FE">
            <w:pPr>
              <w:pStyle w:val="Corpsdetexte"/>
              <w:spacing w:before="0" w:after="0"/>
              <w:ind w:left="-8"/>
            </w:pPr>
            <w:r w:rsidRPr="00990583">
              <w:t>Paris</w:t>
            </w:r>
            <w:r w:rsidR="00B37B52" w:rsidRPr="00990583">
              <w:t xml:space="preserve">, le </w:t>
            </w:r>
            <w:r w:rsidR="0077111C">
              <w:t>29</w:t>
            </w:r>
            <w:r w:rsidR="00142627" w:rsidRPr="00990583">
              <w:t xml:space="preserve"> juin</w:t>
            </w:r>
            <w:r w:rsidR="00A57E3D" w:rsidRPr="00990583">
              <w:t xml:space="preserve"> 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185663E2" w:rsidR="00D1561B" w:rsidRDefault="00596118" w:rsidP="00A01213">
      <w:pPr>
        <w:spacing w:before="120" w:after="0" w:line="240" w:lineRule="auto"/>
        <w:ind w:left="1701" w:hanging="1701"/>
      </w:pPr>
      <w:r w:rsidRPr="00122165">
        <w:rPr>
          <w:b/>
        </w:rPr>
        <w:t>IS :</w:t>
      </w:r>
      <w:r w:rsidR="00D47E79">
        <w:t xml:space="preserve"> </w:t>
      </w:r>
      <w:r w:rsidR="00D47E79">
        <w:tab/>
      </w:r>
      <w:r w:rsidR="00E3229F">
        <w:t>La réévaluation défiscalisée précisée -</w:t>
      </w:r>
    </w:p>
    <w:p w14:paraId="073D1CB1" w14:textId="56693E39" w:rsidR="00916F7D" w:rsidRDefault="00596118" w:rsidP="00A01213">
      <w:pPr>
        <w:spacing w:before="120" w:after="0" w:line="240" w:lineRule="auto"/>
        <w:ind w:left="1701" w:hanging="1701"/>
      </w:pPr>
      <w:r w:rsidRPr="00122165">
        <w:rPr>
          <w:b/>
        </w:rPr>
        <w:t>TVA :</w:t>
      </w:r>
      <w:r w:rsidR="00DB56D6">
        <w:t xml:space="preserve"> </w:t>
      </w:r>
      <w:r w:rsidR="00DB56D6">
        <w:tab/>
      </w:r>
      <w:r w:rsidR="00E3229F">
        <w:t>A quelle date apprécier les ressources pour vendre un logement en TVA réduite – Pas de TVA pour les cantines et les piscines exploitées en régie -</w:t>
      </w:r>
    </w:p>
    <w:p w14:paraId="4E8276DC" w14:textId="0850B36B" w:rsidR="001261C0" w:rsidRDefault="00596118" w:rsidP="00A01213">
      <w:pPr>
        <w:spacing w:before="120" w:after="0" w:line="240" w:lineRule="auto"/>
        <w:ind w:left="1701" w:hanging="1701"/>
      </w:pPr>
      <w:r w:rsidRPr="00122165">
        <w:rPr>
          <w:b/>
        </w:rPr>
        <w:t>Locaux :</w:t>
      </w:r>
      <w:r w:rsidR="004A7406">
        <w:tab/>
      </w:r>
      <w:r w:rsidR="00484256">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3B08A441" w:rsidR="00B50E23" w:rsidRDefault="00596118" w:rsidP="00A01213">
      <w:pPr>
        <w:spacing w:before="120" w:after="0" w:line="240" w:lineRule="auto"/>
        <w:ind w:left="1701" w:hanging="1701"/>
      </w:pPr>
      <w:r w:rsidRPr="00122165">
        <w:rPr>
          <w:b/>
        </w:rPr>
        <w:t>Divers</w:t>
      </w:r>
      <w:r w:rsidR="004A7406">
        <w:t xml:space="preserve"> :</w:t>
      </w:r>
      <w:r w:rsidR="004A7406">
        <w:tab/>
      </w:r>
      <w:r w:rsidR="00E3229F">
        <w:t>Aides au logement en Outre-Mer – Pinel seulement pour les logements neufs - C3S sur les produits collectés pour le compte de tiers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02DB5805" w:rsidR="00B54BDA" w:rsidRDefault="00596118" w:rsidP="00A01213">
      <w:pPr>
        <w:spacing w:before="120" w:after="0" w:line="240" w:lineRule="auto"/>
        <w:ind w:left="1701" w:hanging="1701"/>
      </w:pPr>
      <w:r w:rsidRPr="00122165">
        <w:rPr>
          <w:b/>
        </w:rPr>
        <w:t>Publique :</w:t>
      </w:r>
      <w:r w:rsidR="00B00EF7">
        <w:t xml:space="preserve"> </w:t>
      </w:r>
      <w:r w:rsidR="00B00EF7">
        <w:tab/>
      </w:r>
      <w:r w:rsidR="00484256">
        <w:t>Rien à signaler</w:t>
      </w:r>
    </w:p>
    <w:p w14:paraId="5F6B1C19" w14:textId="4F515332" w:rsidR="005A391C" w:rsidRDefault="00596118" w:rsidP="00A01213">
      <w:pPr>
        <w:spacing w:before="120" w:after="0" w:line="240" w:lineRule="auto"/>
        <w:ind w:left="1701" w:hanging="1701"/>
      </w:pPr>
      <w:r w:rsidRPr="00122165">
        <w:rPr>
          <w:b/>
        </w:rPr>
        <w:t>Privée :</w:t>
      </w:r>
      <w:r w:rsidR="00B00EF7">
        <w:t xml:space="preserve"> </w:t>
      </w:r>
      <w:r w:rsidR="00B00EF7">
        <w:tab/>
      </w:r>
      <w:r w:rsidR="00E3229F">
        <w:t>La production de l’ANC sur les comptes annuels et la COVID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15CC99BB" w:rsidR="00B54BDA" w:rsidRDefault="00596118" w:rsidP="00A01213">
      <w:pPr>
        <w:spacing w:before="120" w:after="0" w:line="240" w:lineRule="auto"/>
        <w:ind w:left="1701" w:hanging="1701"/>
      </w:pPr>
      <w:r w:rsidRPr="00122165">
        <w:rPr>
          <w:b/>
        </w:rPr>
        <w:t>Textes :</w:t>
      </w:r>
      <w:r>
        <w:t xml:space="preserve"> </w:t>
      </w:r>
      <w:r w:rsidR="00223947">
        <w:tab/>
      </w:r>
      <w:r w:rsidR="00E3229F">
        <w:t>Cotisation CGLLS 2021 – Fin de l’obligation de produire le Kbis – Les attestations pour les marchés -</w:t>
      </w:r>
    </w:p>
    <w:p w14:paraId="41468130" w14:textId="757A6733" w:rsidR="006B1E5F" w:rsidRDefault="00596118" w:rsidP="00A01213">
      <w:pPr>
        <w:spacing w:before="120" w:after="0" w:line="240" w:lineRule="auto"/>
        <w:ind w:left="1701" w:hanging="1701"/>
      </w:pPr>
      <w:r w:rsidRPr="00122165">
        <w:rPr>
          <w:b/>
        </w:rPr>
        <w:t>Réponses :</w:t>
      </w:r>
      <w:r>
        <w:t xml:space="preserve"> </w:t>
      </w:r>
      <w:r w:rsidR="00223947">
        <w:tab/>
      </w:r>
      <w:r w:rsidR="00E3229F">
        <w:t>Conseiller intéressé à une association – Les SPL, comme les collectivités, peuvent être exonérées de TVA pour certains des services qu’elles rendent -</w:t>
      </w:r>
    </w:p>
    <w:p w14:paraId="48D6DEFC" w14:textId="5796B019" w:rsidR="00CE269F" w:rsidRDefault="00596118" w:rsidP="00A01213">
      <w:pPr>
        <w:spacing w:before="120" w:after="0" w:line="240" w:lineRule="auto"/>
        <w:ind w:left="1701" w:hanging="1701"/>
      </w:pPr>
      <w:r w:rsidRPr="004E2169">
        <w:rPr>
          <w:b/>
          <w:spacing w:val="-8"/>
        </w:rPr>
        <w:t>Jurisprudence :</w:t>
      </w:r>
      <w:r>
        <w:t xml:space="preserve"> </w:t>
      </w:r>
      <w:r w:rsidR="00223947">
        <w:tab/>
      </w:r>
      <w:r w:rsidR="00E3229F">
        <w:t>Le juge peut réduire les sanctions infligées par l’ANCOLS – Quels occupant retenir pour calculer le surloyer – Une concession (d’aménagement) peut être un marché -</w:t>
      </w:r>
    </w:p>
    <w:p w14:paraId="76354D80" w14:textId="219B64B9" w:rsidR="00004382" w:rsidRDefault="00596118" w:rsidP="00A01213">
      <w:pPr>
        <w:spacing w:before="120" w:after="0" w:line="240" w:lineRule="auto"/>
        <w:ind w:left="1701" w:hanging="1701"/>
      </w:pPr>
      <w:r w:rsidRPr="00122165">
        <w:rPr>
          <w:b/>
        </w:rPr>
        <w:t>Divers :</w:t>
      </w:r>
      <w:r>
        <w:t xml:space="preserve"> </w:t>
      </w:r>
      <w:r>
        <w:tab/>
      </w:r>
      <w:r w:rsidR="00484256">
        <w:t>Rien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78508250" w14:textId="570269AD" w:rsidR="00383D04" w:rsidRPr="002F368F" w:rsidRDefault="00991A63" w:rsidP="00383D04">
      <w:pPr>
        <w:spacing w:before="120" w:after="120" w:line="240" w:lineRule="auto"/>
        <w:rPr>
          <w:rFonts w:cs="Times"/>
          <w:color w:val="003300"/>
          <w:szCs w:val="24"/>
        </w:rPr>
      </w:pPr>
      <w:r>
        <w:rPr>
          <w:rFonts w:cs="Times"/>
          <w:color w:val="003300"/>
          <w:szCs w:val="24"/>
          <w:u w:val="single"/>
        </w:rPr>
        <w:t>Réévaluation</w:t>
      </w:r>
      <w:r w:rsidR="00383D04" w:rsidRPr="006B1429">
        <w:rPr>
          <w:rFonts w:cs="Times"/>
          <w:color w:val="003300"/>
          <w:szCs w:val="24"/>
          <w:u w:val="single"/>
        </w:rPr>
        <w:t xml:space="preserve"> </w:t>
      </w:r>
      <w:r w:rsidR="00383D04" w:rsidRPr="002F368F">
        <w:rPr>
          <w:rFonts w:cs="Times"/>
          <w:color w:val="003300"/>
          <w:szCs w:val="24"/>
        </w:rPr>
        <w:t xml:space="preserve">– </w:t>
      </w:r>
      <w:r>
        <w:rPr>
          <w:rFonts w:cs="Times"/>
          <w:color w:val="003300"/>
          <w:szCs w:val="24"/>
        </w:rPr>
        <w:t>Les modalités</w:t>
      </w:r>
      <w:r w:rsidR="00852A6E">
        <w:rPr>
          <w:rFonts w:cs="Times"/>
          <w:color w:val="003300"/>
          <w:szCs w:val="24"/>
        </w:rPr>
        <w:t xml:space="preserve"> précisées par l’Administration.</w:t>
      </w:r>
    </w:p>
    <w:p w14:paraId="3FAB8A91" w14:textId="77777777" w:rsidR="00991A63" w:rsidRPr="00991A63" w:rsidRDefault="00991A63" w:rsidP="00991A63">
      <w:pPr>
        <w:pStyle w:val="NormalWeb"/>
        <w:shd w:val="clear" w:color="auto" w:fill="FFFFFF"/>
        <w:spacing w:before="0" w:after="150"/>
        <w:ind w:left="567"/>
        <w:jc w:val="both"/>
        <w:rPr>
          <w:color w:val="333333"/>
          <w:sz w:val="22"/>
          <w:szCs w:val="22"/>
        </w:rPr>
      </w:pPr>
      <w:hyperlink r:id="rId8" w:tooltip="09/06/2021 : BIC - Dispositif temporaire de neutralisation des conséquences fiscales des réévaluations libres d'actifs (loi n° 2020-1721 du 29 décembre 2020 de finances pour 2021, art. 31)" w:history="1">
        <w:r w:rsidRPr="00991A63">
          <w:rPr>
            <w:rStyle w:val="Lienhypertexte"/>
            <w:sz w:val="22"/>
            <w:szCs w:val="22"/>
          </w:rPr>
          <w:t>09/06/2021 : BIC - Dispositif temporaire de neutralisation des conséquences fiscales des réévaluations libres d'actifs (loi n° 2020-1721 du 29 décembre 2020 de finances pour 2021, art. 31)</w:t>
        </w:r>
      </w:hyperlink>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4043D366" w14:textId="75D50C4F" w:rsidR="009311BB" w:rsidRDefault="00D02C07" w:rsidP="006320BB">
      <w:pPr>
        <w:keepNext/>
        <w:spacing w:before="120" w:after="0" w:line="240" w:lineRule="auto"/>
        <w:rPr>
          <w:rFonts w:cs="Times"/>
          <w:color w:val="003300"/>
          <w:szCs w:val="24"/>
          <w:u w:val="single"/>
        </w:rPr>
      </w:pPr>
      <w:r>
        <w:rPr>
          <w:rFonts w:cs="Times"/>
          <w:color w:val="003300"/>
          <w:szCs w:val="24"/>
          <w:u w:val="single"/>
        </w:rPr>
        <w:t>TVA réduite sur l’acquisition de logements</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Pour répondre à la question suivante : à quelle date apprécier les plafonds de ressources .</w:t>
      </w:r>
    </w:p>
    <w:p w14:paraId="1E0DD8BB" w14:textId="09A8939D" w:rsidR="00D02C07" w:rsidRPr="00D02C07" w:rsidRDefault="003B70A3" w:rsidP="00D02C07">
      <w:pPr>
        <w:pStyle w:val="NormalWeb"/>
        <w:shd w:val="clear" w:color="auto" w:fill="FFFFFF"/>
        <w:spacing w:before="120" w:after="0"/>
        <w:ind w:left="567"/>
        <w:jc w:val="both"/>
        <w:rPr>
          <w:color w:val="333333"/>
          <w:sz w:val="22"/>
          <w:szCs w:val="22"/>
        </w:rPr>
      </w:pPr>
      <w:hyperlink r:id="rId9" w:tooltip="09/06/2021 : RES - Taxe sur la valeur ajoutée - Opérations concourant à la production ou à la livraison d'immeubles - Logement social - Date d'appréciation des conditions de ressources et de la catégorie du ménage pour l'application du taux réduit - Rescrit - " w:history="1">
        <w:r w:rsidR="00D02C07" w:rsidRPr="00D02C07">
          <w:rPr>
            <w:rStyle w:val="Lienhypertexte"/>
            <w:sz w:val="22"/>
            <w:szCs w:val="22"/>
          </w:rPr>
          <w:t>09/06/2021 : RES - Taxe sur la valeur ajoutée - Opérations concourant à la production ou à la livraison d'immeubles - Logement social - Date d'appréciation des conditions de ressources et de la catégorie du ménage pour l'application du taux réduit - Rescrit - Rectificatif</w:t>
        </w:r>
      </w:hyperlink>
    </w:p>
    <w:p w14:paraId="288C164D" w14:textId="315518AB" w:rsidR="00852A6E" w:rsidRDefault="00852A6E" w:rsidP="006320BB">
      <w:pPr>
        <w:keepNext/>
        <w:spacing w:before="120" w:after="0" w:line="240" w:lineRule="auto"/>
        <w:rPr>
          <w:rFonts w:cs="Times"/>
          <w:color w:val="003300"/>
          <w:szCs w:val="24"/>
          <w:u w:val="single"/>
        </w:rPr>
      </w:pPr>
      <w:r>
        <w:rPr>
          <w:rFonts w:cs="Times"/>
          <w:color w:val="003300"/>
          <w:szCs w:val="24"/>
          <w:u w:val="single"/>
        </w:rPr>
        <w:t>Cantines et piscines</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Pas de TVA si la commune l’exploite en régie, notamment parce qu’une exploitation déficitaire par nature ne porte pas atteinte à la concurrence.</w:t>
      </w:r>
    </w:p>
    <w:p w14:paraId="3C518D1E" w14:textId="5B335A3C" w:rsidR="00852A6E" w:rsidRPr="00852A6E" w:rsidRDefault="00852A6E" w:rsidP="00852A6E">
      <w:pPr>
        <w:keepNext/>
        <w:spacing w:before="120" w:after="0" w:line="240" w:lineRule="auto"/>
        <w:ind w:left="567"/>
        <w:rPr>
          <w:rFonts w:cs="Times"/>
          <w:sz w:val="22"/>
          <w:szCs w:val="22"/>
        </w:rPr>
      </w:pPr>
      <w:hyperlink r:id="rId10" w:history="1">
        <w:r w:rsidRPr="00852A6E">
          <w:rPr>
            <w:rStyle w:val="Lienhypertexte"/>
            <w:rFonts w:cs="Times"/>
            <w:sz w:val="22"/>
            <w:szCs w:val="22"/>
          </w:rPr>
          <w:t>CE 8e-3e ch. 28-5-2021 n° 441739, Commune de Sarlat-la-Canéda et 442378, Commune de Castelnaudary</w:t>
        </w:r>
      </w:hyperlink>
    </w:p>
    <w:p w14:paraId="63F1F552" w14:textId="77777777" w:rsidR="00E3229F" w:rsidRPr="00854CFE" w:rsidRDefault="00E3229F" w:rsidP="00E3229F">
      <w:pPr>
        <w:keepNext/>
        <w:spacing w:before="120" w:after="0" w:line="240" w:lineRule="auto"/>
        <w:rPr>
          <w:rFonts w:cs="Times"/>
          <w:color w:val="003300"/>
          <w:szCs w:val="24"/>
        </w:rPr>
      </w:pPr>
      <w:r w:rsidRPr="00D71B09">
        <w:rPr>
          <w:color w:val="003300"/>
          <w:u w:val="single"/>
        </w:rPr>
        <w:t>TVA sur marge</w:t>
      </w:r>
      <w:r>
        <w:rPr>
          <w:color w:val="003300"/>
        </w:rPr>
        <w:t xml:space="preserve"> – Saisine de notre petite mère l’Europe sur la cas des reventes de terrains à </w:t>
      </w:r>
    </w:p>
    <w:p w14:paraId="1AD6276F" w14:textId="77777777" w:rsidR="00E3229F" w:rsidRDefault="00E3229F" w:rsidP="00E3229F">
      <w:pPr>
        <w:keepNext/>
        <w:spacing w:before="120" w:after="0" w:line="240" w:lineRule="auto"/>
        <w:rPr>
          <w:color w:val="003300"/>
        </w:rPr>
      </w:pPr>
      <w:r>
        <w:rPr>
          <w:color w:val="003300"/>
        </w:rPr>
        <w:t>bâtir.</w:t>
      </w:r>
    </w:p>
    <w:p w14:paraId="24B390E9" w14:textId="77777777" w:rsidR="00E3229F" w:rsidRPr="00854CFE" w:rsidRDefault="00E3229F" w:rsidP="00E3229F">
      <w:pPr>
        <w:keepNext/>
        <w:spacing w:before="120" w:after="0" w:line="240" w:lineRule="auto"/>
        <w:ind w:left="567"/>
        <w:rPr>
          <w:rFonts w:cs="Times"/>
          <w:color w:val="003300"/>
          <w:szCs w:val="24"/>
        </w:rPr>
      </w:pPr>
      <w:hyperlink r:id="rId11" w:history="1">
        <w:r w:rsidRPr="00854CFE">
          <w:rPr>
            <w:rStyle w:val="Lienhypertexte"/>
            <w:rFonts w:cs="Times"/>
            <w:szCs w:val="24"/>
          </w:rPr>
          <w:t>CAA de LYON, 5ème chambre, 18/03/2021, 19LY00501</w:t>
        </w:r>
      </w:hyperlink>
    </w:p>
    <w:p w14:paraId="6CE58C92" w14:textId="46A4EDCE"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09667F6B" w14:textId="283826C0" w:rsidR="00142627" w:rsidRDefault="00484256" w:rsidP="00484256">
      <w:pPr>
        <w:keepNext/>
        <w:spacing w:before="120" w:after="0" w:line="240" w:lineRule="auto"/>
        <w:rPr>
          <w:rFonts w:cs="Times"/>
          <w:color w:val="003300"/>
          <w:szCs w:val="24"/>
          <w:u w:val="single"/>
        </w:rPr>
      </w:pPr>
      <w:r>
        <w:rPr>
          <w:color w:val="003300"/>
        </w:rPr>
        <w:t>Rien à signaler</w:t>
      </w:r>
    </w:p>
    <w:p w14:paraId="034CD263" w14:textId="5FD4FFCF"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29E0793" w14:textId="07799759" w:rsidR="00D02C07" w:rsidRDefault="00D02C07" w:rsidP="00D02C07">
      <w:pPr>
        <w:keepNext/>
        <w:spacing w:before="120" w:after="0" w:line="240" w:lineRule="auto"/>
        <w:rPr>
          <w:rFonts w:cs="Times"/>
          <w:color w:val="003300"/>
          <w:szCs w:val="24"/>
          <w:u w:val="single"/>
        </w:rPr>
      </w:pPr>
      <w:r w:rsidRPr="00D02C07">
        <w:rPr>
          <w:color w:val="003300"/>
          <w:u w:val="single"/>
        </w:rPr>
        <w:t>Outre-Mer</w:t>
      </w:r>
      <w:r>
        <w:rPr>
          <w:color w:val="003300"/>
        </w:rPr>
        <w:t xml:space="preserve"> – Le régime du logement et des aides à cette fin…</w:t>
      </w:r>
    </w:p>
    <w:p w14:paraId="72FBD295" w14:textId="77777777" w:rsidR="00D02C07" w:rsidRPr="00D02C07" w:rsidRDefault="003B70A3" w:rsidP="00D02C07">
      <w:pPr>
        <w:pStyle w:val="NormalWeb"/>
        <w:shd w:val="clear" w:color="auto" w:fill="FFFFFF"/>
        <w:spacing w:before="120" w:after="0"/>
        <w:ind w:left="567"/>
        <w:jc w:val="both"/>
        <w:rPr>
          <w:color w:val="333333"/>
          <w:sz w:val="22"/>
          <w:szCs w:val="22"/>
        </w:rPr>
      </w:pPr>
      <w:hyperlink r:id="rId12" w:tooltip="09/06/2021 : IR - IS - Aménagements du dispositif de crédit d'impôt pour investissement outre-mer dans le secteur du logement social prévu à l'article 244 quater X du CGI (loi n° 2019-1479  du 28 décembre 2019 de finances pour 2020, art. 141, 142 et 144 ; loi " w:history="1">
        <w:r w:rsidR="00D02C07" w:rsidRPr="00D02C07">
          <w:rPr>
            <w:rStyle w:val="Lienhypertexte"/>
            <w:sz w:val="22"/>
            <w:szCs w:val="22"/>
          </w:rPr>
          <w:t>09/06/2021 : IR - IS - Aménagements du dispositif de crédit d'impôt pour investissement outre-mer dans le secteur du logement social prévu à l'article 244 quater X du CGI (loi n° 2019-1479 du 28 décembre 2019 de finances pour 2020, art. 141, 142 et 144 ; loi n° 2020-1721 du 29 décembre 2020 de finances pour 2021, art.106 ) ; actualisation des plafonds de ressources et de loyers applicables au titre des années 2020 et 2021 dans le cadre des dispositifs d'aide fiscale à l'investissement outre-mer dans le secteur du logement social prévus à l'article 199 undecies C du CGI et à l'article 244 quater X du CGI</w:t>
        </w:r>
      </w:hyperlink>
    </w:p>
    <w:p w14:paraId="3F74C51C" w14:textId="227B6917" w:rsidR="00D02C07" w:rsidRDefault="00D02C07" w:rsidP="00D02C07">
      <w:pPr>
        <w:spacing w:before="120" w:after="0" w:line="240" w:lineRule="auto"/>
        <w:rPr>
          <w:rFonts w:cs="Times"/>
          <w:color w:val="003300"/>
          <w:szCs w:val="24"/>
          <w:u w:val="single"/>
        </w:rPr>
      </w:pPr>
      <w:r>
        <w:rPr>
          <w:color w:val="003300"/>
          <w:u w:val="single"/>
        </w:rPr>
        <w:t>Dispositif Pinel</w:t>
      </w:r>
      <w:r>
        <w:rPr>
          <w:color w:val="003300"/>
        </w:rPr>
        <w:t xml:space="preserve"> – Ce sera désormais seulement pour le logement neuf.</w:t>
      </w:r>
    </w:p>
    <w:p w14:paraId="728185AD" w14:textId="4BABF532" w:rsidR="00D02C07" w:rsidRPr="00D02C07" w:rsidRDefault="003B70A3" w:rsidP="00D02C07">
      <w:pPr>
        <w:pStyle w:val="NormalWeb"/>
        <w:shd w:val="clear" w:color="auto" w:fill="FFFFFF"/>
        <w:spacing w:before="120" w:after="0"/>
        <w:ind w:left="567"/>
        <w:jc w:val="both"/>
        <w:rPr>
          <w:color w:val="333333"/>
          <w:sz w:val="21"/>
          <w:szCs w:val="21"/>
        </w:rPr>
      </w:pPr>
      <w:hyperlink r:id="rId13" w:tooltip="21/06/2021 : IR - Réduction d'impôt " w:history="1">
        <w:r w:rsidR="00D02C07" w:rsidRPr="00D02C07">
          <w:rPr>
            <w:rStyle w:val="Lienhypertexte"/>
            <w:sz w:val="21"/>
            <w:szCs w:val="21"/>
          </w:rPr>
          <w:t>21/06/2021 : IR - Réduction d'impôt « Pinel » - Appréciation de la notion de bâtiment d'habitation collectif pour l'application de l'article 161 de la loi n° 2019-1479 du 28 décembre 2019 de finances pour 2020 et de l'article 169 de la loi n° 2020-1721 du 29 décembre 2020 de finances pour 2021</w:t>
        </w:r>
      </w:hyperlink>
    </w:p>
    <w:p w14:paraId="7C255ADB" w14:textId="527E8EAB" w:rsidR="00651AEB" w:rsidRDefault="00651AEB" w:rsidP="00651AEB">
      <w:pPr>
        <w:keepNext/>
        <w:spacing w:before="120" w:after="0" w:line="240" w:lineRule="auto"/>
        <w:rPr>
          <w:rFonts w:cs="Times"/>
          <w:color w:val="003300"/>
          <w:szCs w:val="24"/>
          <w:u w:val="single"/>
        </w:rPr>
      </w:pPr>
      <w:r>
        <w:rPr>
          <w:color w:val="003300"/>
          <w:u w:val="single"/>
        </w:rPr>
        <w:t xml:space="preserve">C3S </w:t>
      </w:r>
      <w:r>
        <w:rPr>
          <w:color w:val="003300"/>
        </w:rPr>
        <w:t xml:space="preserve">– </w:t>
      </w:r>
      <w:r>
        <w:rPr>
          <w:color w:val="003300"/>
        </w:rPr>
        <w:t>Elle est applicable, y compris sur la base des produits collectés pour le comptes de tiers.</w:t>
      </w:r>
    </w:p>
    <w:p w14:paraId="489F78BB" w14:textId="7A2A8136" w:rsidR="00D02C07" w:rsidRPr="00651AEB" w:rsidRDefault="00651AEB" w:rsidP="00651AEB">
      <w:pPr>
        <w:spacing w:before="120" w:after="0" w:line="240" w:lineRule="auto"/>
        <w:ind w:left="567"/>
        <w:rPr>
          <w:rFonts w:cs="Times"/>
          <w:szCs w:val="24"/>
        </w:rPr>
      </w:pPr>
      <w:hyperlink r:id="rId14" w:history="1">
        <w:r w:rsidRPr="00651AEB">
          <w:rPr>
            <w:rStyle w:val="Lienhypertexte"/>
            <w:rFonts w:cs="Times"/>
            <w:szCs w:val="24"/>
          </w:rPr>
          <w:t>CE 8e-3e ch. 12-3-2021 n° 442602, Sté des eaux de Trouville Deauville</w:t>
        </w:r>
      </w:hyperlink>
    </w:p>
    <w:p w14:paraId="20C76B2E" w14:textId="124A42BD"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lastRenderedPageBreak/>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614D6138"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1E12E0B0" w14:textId="1342CEEC"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62A77B3D" w14:textId="5DBE48F3" w:rsidR="0075173A" w:rsidRDefault="0075173A" w:rsidP="0075173A">
      <w:pPr>
        <w:keepNext/>
        <w:spacing w:before="120" w:after="0" w:line="240" w:lineRule="auto"/>
        <w:rPr>
          <w:rFonts w:cs="Times"/>
          <w:color w:val="003300"/>
          <w:szCs w:val="24"/>
          <w:u w:val="single"/>
        </w:rPr>
      </w:pPr>
      <w:r w:rsidRPr="0075173A">
        <w:rPr>
          <w:color w:val="003300"/>
          <w:u w:val="single"/>
        </w:rPr>
        <w:t>Autorité des normes comptables</w:t>
      </w:r>
      <w:r>
        <w:rPr>
          <w:color w:val="003300"/>
        </w:rPr>
        <w:t xml:space="preserve"> – la production du mois de juin.</w:t>
      </w:r>
    </w:p>
    <w:p w14:paraId="4CBCB849" w14:textId="6745E0E6" w:rsidR="0075173A" w:rsidRPr="0075173A" w:rsidRDefault="003B70A3" w:rsidP="0075173A">
      <w:pPr>
        <w:spacing w:before="120" w:after="0" w:line="240" w:lineRule="auto"/>
        <w:ind w:left="567"/>
        <w:rPr>
          <w:rFonts w:ascii="Times New Roman" w:hAnsi="Times New Roman"/>
          <w:color w:val="003300"/>
          <w:sz w:val="22"/>
          <w:szCs w:val="22"/>
          <w:u w:val="single"/>
        </w:rPr>
      </w:pPr>
      <w:hyperlink r:id="rId15" w:tgtFrame="_blank" w:tooltip="Recueil-normes-comptables_2021" w:history="1">
        <w:r w:rsidR="0075173A" w:rsidRPr="00E3229F">
          <w:rPr>
            <w:rStyle w:val="Lienhypertexte"/>
            <w:rFonts w:ascii="Times New Roman" w:hAnsi="Times New Roman"/>
            <w:sz w:val="22"/>
            <w:szCs w:val="22"/>
            <w:shd w:val="clear" w:color="auto" w:fill="FFFFFF"/>
          </w:rPr>
          <w:t>Recueil des normes comptables</w:t>
        </w:r>
      </w:hyperlink>
      <w:r w:rsidR="0075173A" w:rsidRPr="00E3229F">
        <w:rPr>
          <w:rFonts w:ascii="Times New Roman" w:hAnsi="Times New Roman"/>
          <w:color w:val="232B3A"/>
          <w:sz w:val="22"/>
          <w:szCs w:val="22"/>
          <w:shd w:val="clear" w:color="auto" w:fill="FFFFFF"/>
        </w:rPr>
        <w:t> pour</w:t>
      </w:r>
      <w:r w:rsidR="0075173A" w:rsidRPr="0075173A">
        <w:rPr>
          <w:rFonts w:ascii="Times New Roman" w:hAnsi="Times New Roman"/>
          <w:color w:val="232B3A"/>
          <w:sz w:val="22"/>
          <w:szCs w:val="22"/>
          <w:shd w:val="clear" w:color="auto" w:fill="FFFFFF"/>
        </w:rPr>
        <w:t xml:space="preserve"> les comptes annuels des entreprises industrielles et commerciales (</w:t>
      </w:r>
      <w:r w:rsidR="0075173A" w:rsidRPr="0075173A">
        <w:rPr>
          <w:rStyle w:val="lev"/>
          <w:rFonts w:ascii="Times New Roman" w:hAnsi="Times New Roman"/>
          <w:color w:val="232B3A"/>
          <w:sz w:val="22"/>
          <w:szCs w:val="22"/>
          <w:shd w:val="clear" w:color="auto" w:fill="FFFFFF"/>
        </w:rPr>
        <w:t>Version en vigueur - Janvier 2021</w:t>
      </w:r>
      <w:r w:rsidR="0075173A" w:rsidRPr="0075173A">
        <w:rPr>
          <w:rFonts w:ascii="Times New Roman" w:hAnsi="Times New Roman"/>
          <w:color w:val="232B3A"/>
          <w:sz w:val="22"/>
          <w:szCs w:val="22"/>
          <w:shd w:val="clear" w:color="auto" w:fill="FFFFFF"/>
        </w:rPr>
        <w:t>)</w:t>
      </w:r>
    </w:p>
    <w:p w14:paraId="0D4E65AC" w14:textId="261A2F47" w:rsidR="0075173A" w:rsidRPr="0075173A" w:rsidRDefault="003B70A3" w:rsidP="0075173A">
      <w:pPr>
        <w:spacing w:before="120" w:after="0" w:line="240" w:lineRule="auto"/>
        <w:ind w:left="567"/>
        <w:rPr>
          <w:rFonts w:ascii="Times New Roman" w:hAnsi="Times New Roman"/>
          <w:color w:val="003300"/>
          <w:sz w:val="22"/>
          <w:szCs w:val="22"/>
          <w:u w:val="single"/>
        </w:rPr>
      </w:pPr>
      <w:hyperlink r:id="rId16" w:tgtFrame="_blank" w:tooltip="R2021_03" w:history="1">
        <w:r w:rsidR="0075173A" w:rsidRPr="0075173A">
          <w:rPr>
            <w:rStyle w:val="Lienhypertexte"/>
            <w:rFonts w:ascii="Times New Roman" w:hAnsi="Times New Roman"/>
            <w:sz w:val="22"/>
            <w:szCs w:val="22"/>
            <w:shd w:val="clear" w:color="auto" w:fill="FFFFFF"/>
          </w:rPr>
          <w:t>Règlement N° 2021-03 du 4 juin 2021 modifiant le règlement ANC N°2016-03</w:t>
        </w:r>
      </w:hyperlink>
      <w:r w:rsidR="0075173A" w:rsidRPr="0075173A">
        <w:rPr>
          <w:rFonts w:ascii="Times New Roman" w:hAnsi="Times New Roman"/>
          <w:color w:val="232B3A"/>
          <w:sz w:val="22"/>
          <w:szCs w:val="22"/>
          <w:shd w:val="clear" w:color="auto" w:fill="FFFFFF"/>
        </w:rPr>
        <w:t> relatif aux comptes annuels des organismes de titrisation + (</w:t>
      </w:r>
      <w:hyperlink r:id="rId17" w:tgtFrame="_blank" w:tooltip="R2021_03_Recueil.pdf" w:history="1">
        <w:r w:rsidR="0075173A" w:rsidRPr="0075173A">
          <w:rPr>
            <w:rStyle w:val="lev"/>
            <w:rFonts w:ascii="Times New Roman" w:hAnsi="Times New Roman"/>
            <w:color w:val="0000FF"/>
            <w:sz w:val="22"/>
            <w:szCs w:val="22"/>
            <w:shd w:val="clear" w:color="auto" w:fill="FFFFFF"/>
          </w:rPr>
          <w:t>Version recueil</w:t>
        </w:r>
      </w:hyperlink>
      <w:r w:rsidR="0075173A" w:rsidRPr="0075173A">
        <w:rPr>
          <w:rFonts w:ascii="Times New Roman" w:hAnsi="Times New Roman"/>
          <w:color w:val="232B3A"/>
          <w:sz w:val="22"/>
          <w:szCs w:val="22"/>
          <w:shd w:val="clear" w:color="auto" w:fill="FFFFFF"/>
        </w:rPr>
        <w:t>)</w:t>
      </w:r>
    </w:p>
    <w:p w14:paraId="40C7600C" w14:textId="0530E8F9" w:rsidR="004E70F8" w:rsidRDefault="003B70A3" w:rsidP="0075173A">
      <w:pPr>
        <w:spacing w:before="120" w:after="0" w:line="240" w:lineRule="auto"/>
        <w:ind w:left="567"/>
        <w:rPr>
          <w:rFonts w:ascii="Times New Roman" w:hAnsi="Times New Roman"/>
          <w:color w:val="232B3A"/>
          <w:sz w:val="22"/>
          <w:szCs w:val="22"/>
          <w:shd w:val="clear" w:color="auto" w:fill="FFFFFF"/>
        </w:rPr>
      </w:pPr>
      <w:hyperlink r:id="rId18" w:tgtFrame="_blank" w:tooltip="R2021_02" w:history="1">
        <w:r w:rsidR="004E70F8" w:rsidRPr="0075173A">
          <w:rPr>
            <w:rStyle w:val="Lienhypertexte"/>
            <w:rFonts w:ascii="Times New Roman" w:hAnsi="Times New Roman"/>
            <w:sz w:val="22"/>
            <w:szCs w:val="22"/>
            <w:shd w:val="clear" w:color="auto" w:fill="FFFFFF"/>
          </w:rPr>
          <w:t>Règlement N° 2021-02 du 4 juin 2021 modifiant le règlement ANC N°2018-06</w:t>
        </w:r>
      </w:hyperlink>
      <w:r w:rsidR="004E70F8" w:rsidRPr="0075173A">
        <w:rPr>
          <w:rFonts w:ascii="Times New Roman" w:hAnsi="Times New Roman"/>
          <w:color w:val="232B3A"/>
          <w:sz w:val="22"/>
          <w:szCs w:val="22"/>
          <w:shd w:val="clear" w:color="auto" w:fill="FFFFFF"/>
        </w:rPr>
        <w:t> relatif aux comptes annuels des personnes morales de droit privé à but non lucratif + (</w:t>
      </w:r>
      <w:hyperlink r:id="rId19" w:tgtFrame="_blank" w:tooltip="R2021_02_Recueil" w:history="1">
        <w:r w:rsidR="004E70F8" w:rsidRPr="0075173A">
          <w:rPr>
            <w:rStyle w:val="Lienhypertexte"/>
            <w:rFonts w:ascii="Times New Roman" w:hAnsi="Times New Roman"/>
            <w:b/>
            <w:bCs/>
            <w:sz w:val="22"/>
            <w:szCs w:val="22"/>
            <w:shd w:val="clear" w:color="auto" w:fill="FFFFFF"/>
          </w:rPr>
          <w:t>Version recueil</w:t>
        </w:r>
      </w:hyperlink>
      <w:r w:rsidR="004E70F8" w:rsidRPr="0075173A">
        <w:rPr>
          <w:rFonts w:ascii="Times New Roman" w:hAnsi="Times New Roman"/>
          <w:color w:val="232B3A"/>
          <w:sz w:val="22"/>
          <w:szCs w:val="22"/>
          <w:shd w:val="clear" w:color="auto" w:fill="FFFFFF"/>
        </w:rPr>
        <w:t>)</w:t>
      </w:r>
    </w:p>
    <w:p w14:paraId="5D386B07" w14:textId="09F0DCB3" w:rsidR="0075173A" w:rsidRDefault="0075173A" w:rsidP="0075173A">
      <w:pPr>
        <w:spacing w:before="120" w:after="0" w:line="240" w:lineRule="auto"/>
        <w:ind w:left="567"/>
        <w:rPr>
          <w:rFonts w:ascii="Times New Roman" w:hAnsi="Times New Roman"/>
          <w:sz w:val="22"/>
          <w:szCs w:val="22"/>
        </w:rPr>
      </w:pPr>
      <w:r w:rsidRPr="0075173A">
        <w:rPr>
          <w:rFonts w:ascii="Times New Roman" w:hAnsi="Times New Roman"/>
          <w:sz w:val="22"/>
          <w:szCs w:val="22"/>
        </w:rPr>
        <w:t>COVID-19 : MISE A JOUR DES RECOMMANDATIONS ET OBSERVATIONS – COMPTES ET SITUATIONS ETABLIS A COMPTER DU 1ER JANVIER 2020</w:t>
      </w:r>
    </w:p>
    <w:p w14:paraId="6D20C560" w14:textId="77777777" w:rsidR="0075173A" w:rsidRDefault="003B70A3" w:rsidP="0075173A">
      <w:pPr>
        <w:spacing w:before="120" w:after="0" w:line="240" w:lineRule="auto"/>
        <w:ind w:left="1134"/>
        <w:jc w:val="left"/>
        <w:rPr>
          <w:rFonts w:ascii="Times New Roman" w:hAnsi="Times New Roman"/>
        </w:rPr>
      </w:pPr>
      <w:hyperlink r:id="rId20" w:tgtFrame="_blank" w:tooltip="Synthese" w:history="1">
        <w:r w:rsidR="0075173A" w:rsidRPr="0075173A">
          <w:rPr>
            <w:rStyle w:val="Lienhypertexte"/>
            <w:rFonts w:ascii="Times New Roman" w:hAnsi="Times New Roman"/>
            <w:sz w:val="20"/>
            <w:shd w:val="clear" w:color="auto" w:fill="FFFFFF"/>
          </w:rPr>
          <w:t>Synthèse</w:t>
        </w:r>
      </w:hyperlink>
    </w:p>
    <w:p w14:paraId="3F0E6673" w14:textId="77777777" w:rsidR="0075173A" w:rsidRDefault="003B70A3" w:rsidP="0075173A">
      <w:pPr>
        <w:spacing w:before="120" w:after="0" w:line="240" w:lineRule="auto"/>
        <w:ind w:left="1134"/>
        <w:jc w:val="left"/>
        <w:rPr>
          <w:rFonts w:ascii="Times New Roman" w:hAnsi="Times New Roman"/>
        </w:rPr>
      </w:pPr>
      <w:hyperlink r:id="rId21" w:tgtFrame="_blank" w:tooltip="Document_detaille" w:history="1">
        <w:r w:rsidR="0075173A" w:rsidRPr="0075173A">
          <w:rPr>
            <w:rStyle w:val="Lienhypertexte"/>
            <w:rFonts w:ascii="Times New Roman" w:hAnsi="Times New Roman"/>
            <w:sz w:val="20"/>
            <w:shd w:val="clear" w:color="auto" w:fill="FFFFFF"/>
          </w:rPr>
          <w:t>Document détaillé</w:t>
        </w:r>
      </w:hyperlink>
    </w:p>
    <w:p w14:paraId="784F874B" w14:textId="1C95BD28" w:rsidR="0075173A" w:rsidRPr="0075173A" w:rsidRDefault="003B70A3" w:rsidP="0075173A">
      <w:pPr>
        <w:spacing w:before="120" w:after="0" w:line="240" w:lineRule="auto"/>
        <w:ind w:left="1134"/>
        <w:jc w:val="left"/>
        <w:rPr>
          <w:rFonts w:ascii="Times New Roman" w:hAnsi="Times New Roman"/>
          <w:sz w:val="22"/>
          <w:szCs w:val="22"/>
        </w:rPr>
      </w:pPr>
      <w:hyperlink r:id="rId22" w:tgtFrame="_blank" w:tooltip="Exemples_de_mise_en_oeuvre_de_la_question_D1" w:history="1">
        <w:r w:rsidR="0075173A" w:rsidRPr="0075173A">
          <w:rPr>
            <w:rStyle w:val="Lienhypertexte"/>
            <w:rFonts w:ascii="Times New Roman" w:hAnsi="Times New Roman"/>
            <w:sz w:val="20"/>
            <w:shd w:val="clear" w:color="auto" w:fill="FFFFFF"/>
          </w:rPr>
          <w:t>Exemples de mise en œuvre de la question D1</w:t>
        </w:r>
      </w:hyperlink>
    </w:p>
    <w:p w14:paraId="5B7B6397" w14:textId="77777777" w:rsidR="009311BB" w:rsidRDefault="009311BB" w:rsidP="002F416C">
      <w:pPr>
        <w:spacing w:before="120" w:after="0" w:line="240" w:lineRule="auto"/>
        <w:rPr>
          <w:rFonts w:cs="Times"/>
          <w:color w:val="003300"/>
          <w:szCs w:val="24"/>
        </w:rPr>
      </w:pPr>
    </w:p>
    <w:p w14:paraId="077EA3B3" w14:textId="4D07C569"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731C8B40" w14:textId="0E954391" w:rsidR="00FD2F4C" w:rsidRDefault="00DC1230" w:rsidP="00484256">
      <w:pPr>
        <w:keepNext/>
        <w:spacing w:before="120" w:after="0" w:line="240" w:lineRule="auto"/>
        <w:rPr>
          <w:color w:val="003300"/>
        </w:rPr>
      </w:pPr>
      <w:r w:rsidRPr="00DC1230">
        <w:rPr>
          <w:color w:val="003300"/>
          <w:u w:val="single"/>
        </w:rPr>
        <w:t>Cotisation CGLLS</w:t>
      </w:r>
      <w:r>
        <w:rPr>
          <w:color w:val="003300"/>
        </w:rPr>
        <w:t xml:space="preserve"> – Le tarif 2021.</w:t>
      </w:r>
    </w:p>
    <w:p w14:paraId="42BDB505" w14:textId="63247FB3" w:rsidR="00DC1230" w:rsidRDefault="003B70A3" w:rsidP="00DC1230">
      <w:pPr>
        <w:keepNext/>
        <w:spacing w:before="120" w:after="0" w:line="240" w:lineRule="auto"/>
        <w:ind w:left="567"/>
        <w:rPr>
          <w:rFonts w:cs="Times"/>
          <w:szCs w:val="24"/>
        </w:rPr>
      </w:pPr>
      <w:hyperlink r:id="rId23" w:history="1">
        <w:r w:rsidR="00DC1230" w:rsidRPr="00DC1230">
          <w:rPr>
            <w:rStyle w:val="Lienhypertexte"/>
            <w:rFonts w:cs="Times"/>
            <w:szCs w:val="24"/>
          </w:rPr>
          <w:t>Arrêté du 2 juin 2021 fixant les modalités de calcul et de paiement de la cotisation due à la Caisse de garantie du logement locatif social et de la cotisation due à l'Agence nationale de contrôle du logement social</w:t>
        </w:r>
      </w:hyperlink>
    </w:p>
    <w:p w14:paraId="726DD6A3" w14:textId="61AAB1E1" w:rsidR="002C0EAD" w:rsidRDefault="002C0EAD" w:rsidP="002C0EAD">
      <w:pPr>
        <w:keepNext/>
        <w:spacing w:before="120" w:after="0" w:line="240" w:lineRule="auto"/>
        <w:rPr>
          <w:color w:val="003300"/>
        </w:rPr>
      </w:pPr>
      <w:r w:rsidRPr="002C0EAD">
        <w:rPr>
          <w:color w:val="003300"/>
          <w:u w:val="single"/>
        </w:rPr>
        <w:t>KBis</w:t>
      </w:r>
      <w:r>
        <w:rPr>
          <w:color w:val="003300"/>
          <w:u w:val="single"/>
        </w:rPr>
        <w:t xml:space="preserve"> </w:t>
      </w:r>
      <w:r>
        <w:rPr>
          <w:color w:val="003300"/>
        </w:rPr>
        <w:t>– Il n’y aura plus besoin de le produire en toutes occasion…</w:t>
      </w:r>
    </w:p>
    <w:p w14:paraId="6DD33AC6" w14:textId="3118A65F" w:rsidR="002C0EAD" w:rsidRDefault="003B70A3" w:rsidP="00DC1230">
      <w:pPr>
        <w:keepNext/>
        <w:spacing w:before="120" w:after="0" w:line="240" w:lineRule="auto"/>
        <w:ind w:left="567"/>
        <w:rPr>
          <w:rFonts w:cs="Times"/>
          <w:szCs w:val="24"/>
        </w:rPr>
      </w:pPr>
      <w:hyperlink r:id="rId24" w:history="1">
        <w:r w:rsidR="002C0EAD" w:rsidRPr="002C0EAD">
          <w:rPr>
            <w:rStyle w:val="Lienhypertexte"/>
            <w:rFonts w:cs="Times"/>
            <w:szCs w:val="24"/>
          </w:rPr>
          <w:t>Décret n° 2021-631 du 21 mai 2021</w:t>
        </w:r>
      </w:hyperlink>
      <w:r w:rsidR="002C0EAD" w:rsidRPr="002C0EAD">
        <w:rPr>
          <w:rFonts w:cs="Times"/>
          <w:szCs w:val="24"/>
        </w:rPr>
        <w:t xml:space="preserve"> relatif à la suppression de l’exigence de présentation par les entreprises d’un extrait d’immatriculation au registre du commerce et des sociétés ou au répertoire des métiers dans leurs démarches administratives</w:t>
      </w:r>
    </w:p>
    <w:p w14:paraId="49A0D2CF" w14:textId="5527FB4D" w:rsidR="0028566B" w:rsidRDefault="0028566B" w:rsidP="0028566B">
      <w:pPr>
        <w:keepNext/>
        <w:spacing w:before="120" w:after="0" w:line="240" w:lineRule="auto"/>
        <w:rPr>
          <w:color w:val="003300"/>
        </w:rPr>
      </w:pPr>
      <w:r>
        <w:rPr>
          <w:color w:val="003300"/>
          <w:u w:val="single"/>
        </w:rPr>
        <w:t xml:space="preserve">Les attestations pour les marchés </w:t>
      </w:r>
      <w:r>
        <w:rPr>
          <w:color w:val="003300"/>
        </w:rPr>
        <w:t>– Quelques modifications…</w:t>
      </w:r>
    </w:p>
    <w:p w14:paraId="449F53B2" w14:textId="07AEEF6E" w:rsidR="0028566B" w:rsidRPr="00DC1230" w:rsidRDefault="003B70A3" w:rsidP="00DC1230">
      <w:pPr>
        <w:keepNext/>
        <w:spacing w:before="120" w:after="0" w:line="240" w:lineRule="auto"/>
        <w:ind w:left="567"/>
        <w:rPr>
          <w:rFonts w:cs="Times"/>
          <w:szCs w:val="24"/>
        </w:rPr>
      </w:pPr>
      <w:hyperlink r:id="rId25" w:history="1">
        <w:r w:rsidR="0028566B" w:rsidRPr="0028566B">
          <w:rPr>
            <w:rStyle w:val="Lienhypertexte"/>
            <w:rFonts w:cs="Times"/>
            <w:szCs w:val="24"/>
          </w:rPr>
          <w:t>Arrêté du 17 mars 2021</w:t>
        </w:r>
      </w:hyperlink>
      <w:r w:rsidR="0028566B" w:rsidRPr="0028566B">
        <w:rPr>
          <w:rFonts w:cs="Times"/>
          <w:szCs w:val="24"/>
        </w:rPr>
        <w:t xml:space="preserve"> modifiant l'arrêté du 22 mars 2019 fixant la liste des impôts, taxes, contributions ou cotisations sociales donnant lieu à la délivrance de certificats pour l'attribution des contrats de la commande publique</w:t>
      </w:r>
    </w:p>
    <w:p w14:paraId="17D13BC7" w14:textId="1650310B" w:rsidR="00E935A2" w:rsidRDefault="00AB002C" w:rsidP="00E3229F">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1817411E" w14:textId="5674BC7F" w:rsidR="00142627" w:rsidRDefault="00012401" w:rsidP="00E3229F">
      <w:pPr>
        <w:spacing w:before="120" w:after="0" w:line="240" w:lineRule="auto"/>
        <w:rPr>
          <w:color w:val="003300"/>
        </w:rPr>
      </w:pPr>
      <w:r w:rsidRPr="00852A6E">
        <w:rPr>
          <w:color w:val="003300"/>
          <w:u w:val="single"/>
        </w:rPr>
        <w:t>Conseiller intéressé</w:t>
      </w:r>
      <w:r w:rsidR="0028566B">
        <w:rPr>
          <w:color w:val="003300"/>
        </w:rPr>
        <w:t xml:space="preserve"> – Pour l’octroi d’une subvention à une association.</w:t>
      </w:r>
    </w:p>
    <w:p w14:paraId="57703564" w14:textId="7A1C2B1D" w:rsidR="0028566B" w:rsidRPr="0028566B" w:rsidRDefault="003B70A3" w:rsidP="00E3229F">
      <w:pPr>
        <w:spacing w:before="120" w:after="0" w:line="240" w:lineRule="auto"/>
        <w:ind w:left="567"/>
        <w:rPr>
          <w:rFonts w:cs="Times"/>
          <w:szCs w:val="24"/>
          <w:u w:val="single"/>
        </w:rPr>
      </w:pPr>
      <w:hyperlink r:id="rId26" w:history="1">
        <w:r w:rsidR="0028566B" w:rsidRPr="0028566B">
          <w:rPr>
            <w:rStyle w:val="Lienhypertexte"/>
          </w:rPr>
          <w:t>Réponse Masson n° 23076</w:t>
        </w:r>
      </w:hyperlink>
      <w:r w:rsidR="0028566B" w:rsidRPr="0028566B">
        <w:t xml:space="preserve"> – JO Sénat 10/06/2021, p. 3699</w:t>
      </w:r>
    </w:p>
    <w:p w14:paraId="2DDBA963" w14:textId="1612DB35" w:rsidR="00852A6E" w:rsidRDefault="00852A6E" w:rsidP="00E3229F">
      <w:pPr>
        <w:spacing w:before="120" w:after="0" w:line="240" w:lineRule="auto"/>
        <w:rPr>
          <w:color w:val="003300"/>
        </w:rPr>
      </w:pPr>
      <w:r w:rsidRPr="00852A6E">
        <w:rPr>
          <w:color w:val="003300"/>
          <w:u w:val="single"/>
        </w:rPr>
        <w:t>SPL</w:t>
      </w:r>
      <w:r>
        <w:rPr>
          <w:color w:val="003300"/>
        </w:rPr>
        <w:t xml:space="preserve"> – </w:t>
      </w:r>
      <w:r>
        <w:rPr>
          <w:color w:val="003300"/>
        </w:rPr>
        <w:t>Elle peuvent bénéficier de l’exonération de TVA pour</w:t>
      </w:r>
      <w:r w:rsidR="00651AEB">
        <w:rPr>
          <w:color w:val="003300"/>
        </w:rPr>
        <w:t xml:space="preserve"> </w:t>
      </w:r>
      <w:r w:rsidR="00651AEB" w:rsidRPr="00651AEB">
        <w:rPr>
          <w:color w:val="003300"/>
        </w:rPr>
        <w:t>l'activité de leurs services sociaux, éducatifs, culturels et sportifs lorsque leur non-assujettissement n'entraîne pas de distorsions dans les conditions de la concurrence</w:t>
      </w:r>
    </w:p>
    <w:p w14:paraId="3356779F" w14:textId="1F02B212" w:rsidR="00651AEB" w:rsidRDefault="00651AEB" w:rsidP="00E3229F">
      <w:pPr>
        <w:spacing w:before="120" w:after="0" w:line="240" w:lineRule="auto"/>
        <w:ind w:left="567"/>
      </w:pPr>
      <w:hyperlink r:id="rId27" w:history="1">
        <w:r w:rsidRPr="00651AEB">
          <w:rPr>
            <w:rStyle w:val="Lienhypertexte"/>
          </w:rPr>
          <w:t>Réponse Cinieri n° 25591</w:t>
        </w:r>
      </w:hyperlink>
      <w:r>
        <w:t>, JOAN 30/03/2021, p. 2793</w:t>
      </w:r>
    </w:p>
    <w:p w14:paraId="7D92344F" w14:textId="7C325E3E" w:rsidR="00331173" w:rsidRDefault="00331173" w:rsidP="00E3229F">
      <w:pPr>
        <w:keepNext/>
        <w:spacing w:before="120" w:after="0" w:line="240" w:lineRule="auto"/>
        <w:rPr>
          <w:rFonts w:cs="Times"/>
          <w:b/>
          <w:szCs w:val="24"/>
        </w:rPr>
      </w:pPr>
      <w:r w:rsidRPr="006320BB">
        <w:rPr>
          <w:rFonts w:cs="Times"/>
          <w:b/>
          <w:szCs w:val="24"/>
        </w:rPr>
        <w:lastRenderedPageBreak/>
        <w:t>3.</w:t>
      </w:r>
      <w:r>
        <w:rPr>
          <w:rFonts w:cs="Times"/>
          <w:b/>
          <w:szCs w:val="24"/>
        </w:rPr>
        <w:t>3</w:t>
      </w:r>
      <w:r w:rsidRPr="006320BB">
        <w:rPr>
          <w:rFonts w:cs="Times"/>
          <w:b/>
          <w:szCs w:val="24"/>
        </w:rPr>
        <w:tab/>
      </w:r>
      <w:r>
        <w:rPr>
          <w:rFonts w:cs="Times"/>
          <w:b/>
          <w:szCs w:val="24"/>
        </w:rPr>
        <w:t>Jurisprudence</w:t>
      </w:r>
    </w:p>
    <w:p w14:paraId="7078499E" w14:textId="356F4E0A" w:rsidR="00AB6906" w:rsidRDefault="00AB6906" w:rsidP="00E3229F">
      <w:pPr>
        <w:keepNext/>
        <w:spacing w:before="120" w:after="0" w:line="240" w:lineRule="auto"/>
        <w:rPr>
          <w:rFonts w:cs="Times"/>
          <w:color w:val="003300"/>
          <w:szCs w:val="24"/>
          <w:u w:val="single"/>
        </w:rPr>
      </w:pPr>
      <w:r w:rsidRPr="00AB6906">
        <w:rPr>
          <w:color w:val="003300"/>
          <w:u w:val="single"/>
        </w:rPr>
        <w:t>ANCOLS</w:t>
      </w:r>
      <w:r>
        <w:rPr>
          <w:color w:val="003300"/>
        </w:rPr>
        <w:t xml:space="preserve"> - Les sanctions prononcées peuvent faire l’objet d’un recours et même d’une réduction.</w:t>
      </w:r>
    </w:p>
    <w:p w14:paraId="33F4F4F3" w14:textId="74CDC528" w:rsidR="00AB6906" w:rsidRPr="00AB6906" w:rsidRDefault="003B70A3" w:rsidP="00AB6906">
      <w:pPr>
        <w:spacing w:before="120" w:after="0" w:line="240" w:lineRule="auto"/>
        <w:ind w:left="567"/>
        <w:rPr>
          <w:color w:val="003300"/>
        </w:rPr>
      </w:pPr>
      <w:hyperlink r:id="rId28" w:history="1">
        <w:r w:rsidR="00AB6906" w:rsidRPr="00AB6906">
          <w:rPr>
            <w:rStyle w:val="Lienhypertexte"/>
          </w:rPr>
          <w:t>Conseil d'État, 16/06/2021, 432682</w:t>
        </w:r>
      </w:hyperlink>
    </w:p>
    <w:p w14:paraId="2FF104AD" w14:textId="7F6A188F" w:rsidR="00AB6906" w:rsidRDefault="00AB6906" w:rsidP="00AB6906">
      <w:pPr>
        <w:keepNext/>
        <w:spacing w:before="120" w:after="0" w:line="240" w:lineRule="auto"/>
        <w:rPr>
          <w:rFonts w:cs="Times"/>
          <w:color w:val="003300"/>
          <w:szCs w:val="24"/>
          <w:u w:val="single"/>
        </w:rPr>
      </w:pPr>
      <w:r>
        <w:rPr>
          <w:color w:val="003300"/>
          <w:u w:val="single"/>
        </w:rPr>
        <w:t>Surloyer</w:t>
      </w:r>
      <w:r>
        <w:rPr>
          <w:color w:val="003300"/>
        </w:rPr>
        <w:t xml:space="preserve"> – Quels sont les occupants du logement à considérer pour le calcul du surloyer ?</w:t>
      </w:r>
    </w:p>
    <w:p w14:paraId="1DB2B02C" w14:textId="7F4F17C2" w:rsidR="00AB6906" w:rsidRPr="00AB6906" w:rsidRDefault="003B70A3" w:rsidP="00AB6906">
      <w:pPr>
        <w:spacing w:before="120" w:after="0" w:line="240" w:lineRule="auto"/>
        <w:ind w:left="567"/>
        <w:rPr>
          <w:rFonts w:cs="Times"/>
          <w:bCs/>
          <w:szCs w:val="24"/>
        </w:rPr>
      </w:pPr>
      <w:hyperlink r:id="rId29" w:history="1">
        <w:r w:rsidR="00AB6906" w:rsidRPr="00AB6906">
          <w:rPr>
            <w:rStyle w:val="Lienhypertexte"/>
            <w:rFonts w:cs="Times"/>
            <w:bCs/>
            <w:szCs w:val="24"/>
          </w:rPr>
          <w:t>Cass. Civ. Arrêt n° 488 du 3 juin 2021 (19-16.045)</w:t>
        </w:r>
      </w:hyperlink>
    </w:p>
    <w:p w14:paraId="5FCBDE01" w14:textId="03F6A174" w:rsidR="00AB6906" w:rsidRDefault="002C0EAD" w:rsidP="00142627">
      <w:pPr>
        <w:spacing w:before="120" w:after="0" w:line="240" w:lineRule="auto"/>
        <w:rPr>
          <w:color w:val="003300"/>
        </w:rPr>
      </w:pPr>
      <w:r>
        <w:rPr>
          <w:color w:val="003300"/>
          <w:u w:val="single"/>
        </w:rPr>
        <w:t>Concession d’aménagement</w:t>
      </w:r>
      <w:r>
        <w:rPr>
          <w:color w:val="003300"/>
        </w:rPr>
        <w:t xml:space="preserve"> – On le savait déjà mais c’est maintenant jugé : il peut s’agir d’un marché.</w:t>
      </w:r>
    </w:p>
    <w:p w14:paraId="11F31E86" w14:textId="4C1F2D95" w:rsidR="002C0EAD" w:rsidRPr="002C0EAD" w:rsidRDefault="003B70A3" w:rsidP="002C0EAD">
      <w:pPr>
        <w:spacing w:before="120" w:after="0" w:line="240" w:lineRule="auto"/>
        <w:ind w:left="567"/>
        <w:rPr>
          <w:rFonts w:cs="Times"/>
          <w:bCs/>
          <w:szCs w:val="24"/>
        </w:rPr>
      </w:pPr>
      <w:hyperlink r:id="rId30" w:history="1">
        <w:r w:rsidR="002C0EAD" w:rsidRPr="002C0EAD">
          <w:rPr>
            <w:rStyle w:val="Lienhypertexte"/>
            <w:rFonts w:cs="Times"/>
            <w:bCs/>
            <w:szCs w:val="24"/>
          </w:rPr>
          <w:t>Conseil d'État, 18/05/2021, 443153</w:t>
        </w:r>
      </w:hyperlink>
    </w:p>
    <w:p w14:paraId="24D1A5D0" w14:textId="6B1D5828" w:rsidR="005A17CC" w:rsidRPr="00142627" w:rsidRDefault="001F3614" w:rsidP="00142627">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FB9F9E0"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49FF24B9" w14:textId="77777777" w:rsidR="005A17CC" w:rsidRDefault="005A17CC" w:rsidP="005A17CC">
      <w:pPr>
        <w:keepNext/>
        <w:spacing w:before="120" w:after="0" w:line="240" w:lineRule="auto"/>
        <w:rPr>
          <w:rFonts w:cs="Times"/>
          <w:color w:val="003300"/>
          <w:szCs w:val="24"/>
        </w:rPr>
      </w:pPr>
    </w:p>
    <w:p w14:paraId="27A2CE17" w14:textId="47DAD480" w:rsidR="005A17CC" w:rsidRDefault="003B70A3" w:rsidP="005A17CC">
      <w:pPr>
        <w:keepNext/>
        <w:spacing w:before="120" w:after="0" w:line="240" w:lineRule="auto"/>
        <w:rPr>
          <w:rFonts w:cs="Times"/>
          <w:color w:val="003300"/>
          <w:szCs w:val="24"/>
        </w:rPr>
      </w:pPr>
      <w:hyperlink r:id="rId31" w:history="1">
        <w:r w:rsidR="005A17CC">
          <w:rPr>
            <w:rStyle w:val="Lienhypertexte"/>
            <w:rFonts w:ascii="Arial" w:hAnsi="Arial" w:cs="Arial"/>
            <w:b/>
            <w:bCs/>
            <w:color w:val="FFFFFF"/>
            <w:sz w:val="25"/>
            <w:szCs w:val="25"/>
          </w:rPr>
          <w:t>Les chiffres du recensement de la commande publique 2019</w:t>
        </w:r>
      </w:hyperlink>
    </w:p>
    <w:p w14:paraId="6E1B19DF" w14:textId="77777777" w:rsidR="00142627" w:rsidRDefault="00142627">
      <w:pPr>
        <w:spacing w:before="0" w:after="0" w:line="240" w:lineRule="auto"/>
        <w:jc w:val="left"/>
      </w:pPr>
      <w:r>
        <w:br w:type="page"/>
      </w:r>
    </w:p>
    <w:p w14:paraId="2649CADA" w14:textId="569B3D10"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3DAE8E02"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2" w:tooltip="23/06/2021 : BIC - IS - Etalement de la plus-value réalisée lors de la cession d'un immeuble par une entreprise à une société de crédit-bail - Cessions réalisées entre le 1er janvier 2021 et le 30 juin 2023 (loi n° 2020-1721 du 29 décembre 2020 de finances pou" w:history="1">
        <w:r w:rsidR="0028566B">
          <w:rPr>
            <w:rStyle w:val="Lienhypertexte"/>
            <w:rFonts w:ascii="Open Sans" w:hAnsi="Open Sans" w:cs="Open Sans"/>
            <w:sz w:val="21"/>
            <w:szCs w:val="21"/>
          </w:rPr>
          <w:t>23/06/2021 : BIC - IS - Etalement de la plus-value réalisée lors de la cession d'un immeuble par une entreprise à une société de crédit-bail - Cessions réalisées entre le 1er janvier 2021 et le 30 juin 2023 (loi n° 2020-1721 du 29 décembre 2020 de finances pour 2021, art. 33)</w:t>
        </w:r>
      </w:hyperlink>
    </w:p>
    <w:p w14:paraId="6C8AB7FE"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3" w:tooltip="23/06/2021 : TVA - Transposition de la directive 2018/1910 du Conseil du 4 décembre 2018 en ce qui concerne l'harmonisation et la simplification de certaines règles dans le système de la taxe sur la valeur ajoutée pour la taxation des échanges entres les États" w:history="1">
        <w:r w:rsidR="0028566B">
          <w:rPr>
            <w:rStyle w:val="Lienhypertexte"/>
            <w:rFonts w:ascii="Open Sans" w:hAnsi="Open Sans" w:cs="Open Sans"/>
            <w:sz w:val="21"/>
            <w:szCs w:val="21"/>
          </w:rPr>
          <w:t>23/06/2021 : TVA - Transposition de la directive 2018/1910 du Conseil du 4 décembre 2018 en ce qui concerne l'harmonisation et la simplification de certaines règles dans le système de la taxe sur la valeur ajoutée pour la taxation des échanges entres les États membres, mesures « Quick fixes » (loi n° 2019-1479 du 28 décembre 2019 de finances pour 2020, art. 34) - Rectificatif</w:t>
        </w:r>
      </w:hyperlink>
    </w:p>
    <w:p w14:paraId="20C1803D"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4" w:tooltip="23/06/2021 : TCA - Actualisation du barème de la taxe due par les concessionnaires d'autoroutes pour 2021 (CGI, art. 302 bis ZB)" w:history="1">
        <w:r w:rsidR="0028566B">
          <w:rPr>
            <w:rStyle w:val="Lienhypertexte"/>
            <w:rFonts w:ascii="Open Sans" w:hAnsi="Open Sans" w:cs="Open Sans"/>
            <w:sz w:val="21"/>
            <w:szCs w:val="21"/>
          </w:rPr>
          <w:t>23/06/2021 : TCA - Actualisation du barème de la taxe due par les concessionnaires d'autoroutes pour 2021 (CGI, art. 302 bis ZB)</w:t>
        </w:r>
      </w:hyperlink>
    </w:p>
    <w:p w14:paraId="3A616C77"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5" w:tooltip="23/06/2021 : IF - Aménagements apportés à la taxe pour frais de chambres des métiers et de l'artisanat (loi n° 2019-1479 du 28 décembre 2019 de finances pour 2020, article 194)" w:history="1">
        <w:r w:rsidR="0028566B">
          <w:rPr>
            <w:rStyle w:val="Lienhypertexte"/>
            <w:rFonts w:ascii="Open Sans" w:hAnsi="Open Sans" w:cs="Open Sans"/>
            <w:sz w:val="21"/>
            <w:szCs w:val="21"/>
          </w:rPr>
          <w:t>23/06/2021 : IF - Aménagements apportés à la taxe pour frais de chambres des métiers et de l'artisanat (loi n° 2019-1479 du 28 décembre 2019 de finances pour 2020, article 194)</w:t>
        </w:r>
      </w:hyperlink>
    </w:p>
    <w:p w14:paraId="468AF5EF"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6" w:tooltip="23/06/2021 : Mise à niveau formelle" w:history="1">
        <w:r w:rsidR="0028566B">
          <w:rPr>
            <w:rStyle w:val="Lienhypertexte"/>
            <w:rFonts w:ascii="Open Sans" w:hAnsi="Open Sans" w:cs="Open Sans"/>
            <w:sz w:val="21"/>
            <w:szCs w:val="21"/>
          </w:rPr>
          <w:t>23/06/2021 : Mise à niveau formelle</w:t>
        </w:r>
      </w:hyperlink>
    </w:p>
    <w:p w14:paraId="5C09B075"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7" w:tooltip="21/06/2021 : IR - Réduction d'impôt au titre des souscriptions en numéraire au capital d'entreprises de presse (loi n°2020-1721 du 29 décembre 2020 de finances pour 2021, art. 114)" w:history="1">
        <w:r w:rsidR="0028566B">
          <w:rPr>
            <w:rStyle w:val="Lienhypertexte"/>
            <w:rFonts w:ascii="Open Sans" w:hAnsi="Open Sans" w:cs="Open Sans"/>
            <w:sz w:val="21"/>
            <w:szCs w:val="21"/>
          </w:rPr>
          <w:t>21/06/2021 : IR - Réduction d'impôt au titre des souscriptions en numéraire au capital d'entreprises de presse (loi n°2020-1721 du 29 décembre 2020 de finances pour 2021, art. 114)</w:t>
        </w:r>
      </w:hyperlink>
    </w:p>
    <w:p w14:paraId="7AC36226"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8" w:tooltip="21/06/2021 : IR - Réduction d'impôt " w:history="1">
        <w:r w:rsidR="0028566B" w:rsidRPr="0028566B">
          <w:rPr>
            <w:rStyle w:val="Lienhypertexte"/>
            <w:rFonts w:ascii="Open Sans" w:hAnsi="Open Sans" w:cs="Open Sans"/>
            <w:sz w:val="21"/>
            <w:szCs w:val="21"/>
            <w:highlight w:val="green"/>
          </w:rPr>
          <w:t>21/06/2021 : IR - Réduction d'impôt « Pinel » - Appréciation de la notion de bâtiment d'habitation collectif pour l'application de l'article 161 de la loi n° 2019-1479 du 28 décembre 2019 de finances pour 2020 et de l'article 169 de la loi n° 2020-1721 du 29 décembre 2020 de finances pour 2021</w:t>
        </w:r>
      </w:hyperlink>
    </w:p>
    <w:p w14:paraId="3499505B"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39" w:tooltip="21/06/2021 : RPPM - Distributions occultes ou irrégulières - Majoration de 25 % des revenus en cas d’imposition au prélèvement forfaitaire unique (loi n° 2020-1721 du 29 décembre 2020 de finances pour 2021, art. 39)" w:history="1">
        <w:r w:rsidR="0028566B">
          <w:rPr>
            <w:rStyle w:val="Lienhypertexte"/>
            <w:rFonts w:ascii="Open Sans" w:hAnsi="Open Sans" w:cs="Open Sans"/>
            <w:sz w:val="21"/>
            <w:szCs w:val="21"/>
          </w:rPr>
          <w:t>21/06/2021 : RPPM - Distributions occultes ou irrégulières - Majoration de 25 % des revenus en cas d’imposition au prélèvement forfaitaire unique (loi n° 2020-1721 du 29 décembre 2020 de finances pour 2021, art. 39)</w:t>
        </w:r>
      </w:hyperlink>
    </w:p>
    <w:p w14:paraId="78AC72F8"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0" w:tooltip="21/06/2021 : IF - Taxe pour frais de chambre d'agriculture - Précisions sur les modalités d'établissement de la taxe pour frais de chambre d'agriculture prévue à l'article 1604 du CGI (loi n° 2020-1721 du 29 décembre 2020 de finances pour 2021, art. 83)" w:history="1">
        <w:r w:rsidR="0028566B">
          <w:rPr>
            <w:rStyle w:val="Lienhypertexte"/>
            <w:rFonts w:ascii="Open Sans" w:hAnsi="Open Sans" w:cs="Open Sans"/>
            <w:sz w:val="21"/>
            <w:szCs w:val="21"/>
          </w:rPr>
          <w:t>21/06/2021 : IF - Taxe pour frais de chambre d'agriculture - Précisions sur les modalités d'établissement de la taxe pour frais de chambre d'agriculture prévue à l'article 1604 du CGI (loi n° 2020-1721 du 29 décembre 2020 de finances pour 2021, art. 83)</w:t>
        </w:r>
      </w:hyperlink>
    </w:p>
    <w:p w14:paraId="0AC391FA"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1" w:tooltip="16/06/2021 : BIC - TVA - CF - CTX - Suppression du dispositif de récépissé de consignation délivré, sous certaines conditions, aux personnes exerçant une activité lucrative sur la voie ou dans un lieu public sans avoir en France de domicile ou de résidence fix" w:history="1">
        <w:r w:rsidR="0028566B">
          <w:rPr>
            <w:rStyle w:val="Lienhypertexte"/>
            <w:rFonts w:ascii="Open Sans" w:hAnsi="Open Sans" w:cs="Open Sans"/>
            <w:sz w:val="21"/>
            <w:szCs w:val="21"/>
          </w:rPr>
          <w:t>16/06/2021 : BIC - TVA - CF - CTX - Suppression du dispositif de récépissé de consignation délivré, sous certaines conditions, aux personnes exerçant une activité lucrative sur la voie ou dans un lieu public sans avoir en France de domicile ou de résidence fixe depuis plus de six mois (loi n° 2020-1525 du 7 décembre 2020 d'accélération et de simplification de l'action publique, art. 127)</w:t>
        </w:r>
      </w:hyperlink>
    </w:p>
    <w:p w14:paraId="0BC3DD4B"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2" w:tooltip="09/06/2021 : IR - IS - Aménagements du dispositif de crédit d'impôt pour investissement outre-mer dans le secteur du logement social prévu à l'article 244 quater X du CGI (loi n° 2019-1479  du 28 décembre 2019 de finances pour 2020, art. 141, 142 et 144 ; loi " w:history="1">
        <w:r w:rsidR="0028566B" w:rsidRPr="00D02C07">
          <w:rPr>
            <w:rStyle w:val="Lienhypertexte"/>
            <w:rFonts w:ascii="Open Sans" w:hAnsi="Open Sans" w:cs="Open Sans"/>
            <w:sz w:val="21"/>
            <w:szCs w:val="21"/>
            <w:highlight w:val="green"/>
          </w:rPr>
          <w:t>09/06/2021 : IR - IS - Aménagements du dispositif de crédit d'impôt pour investissement outre-mer dans le secteur du logement social prévu à l'article 244 quater X du CGI (loi n° 2019-1479 du 28 décembre 2019 de finances pour 2020, art. 141, 142 et 144 ; loi n° 2020-1721 du 29 décembre 2020 de finances pour 2021, art.106 ) ; actualisation des plafonds de ressources et de loyers applicables au titre des années 2020 et 2021 dans le cadre des dispositifs d'aide fiscale à l'investissement outre-mer dans le secteur du logement social prévus à l'article 199 undecies C du CGI et à l'article 244 quater X du CGI</w:t>
        </w:r>
      </w:hyperlink>
    </w:p>
    <w:p w14:paraId="740D45EF"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3" w:tooltip="09/06/2021 : BIC - Dispositif temporaire de neutralisation des conséquences fiscales des réévaluations libres d'actifs (loi n° 2020-1721 du 29 décembre 2020 de finances pour 2021, art. 31)" w:history="1">
        <w:r w:rsidR="0028566B">
          <w:rPr>
            <w:rStyle w:val="Lienhypertexte"/>
            <w:rFonts w:ascii="Open Sans" w:hAnsi="Open Sans" w:cs="Open Sans"/>
            <w:sz w:val="21"/>
            <w:szCs w:val="21"/>
          </w:rPr>
          <w:t>09/06/2021 : BIC - Dispositif temporaire de neutralisation des conséquences fiscales des réévaluations libres d'actifs (loi n° 2020-1721 du 29 décembre 2020 de finances pour 2021, art. 31)</w:t>
        </w:r>
      </w:hyperlink>
    </w:p>
    <w:p w14:paraId="3C40CACD"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4" w:tooltip="09/06/2021 : IS - Crédit d'impôt en faveur des représentations théâtrales d'œuvres dramatiques (loi n° 2020-1721 du 29 décembre 2020 de finances pour 2021, art. 22)" w:history="1">
        <w:r w:rsidR="0028566B">
          <w:rPr>
            <w:rStyle w:val="Lienhypertexte"/>
            <w:rFonts w:ascii="Open Sans" w:hAnsi="Open Sans" w:cs="Open Sans"/>
            <w:sz w:val="21"/>
            <w:szCs w:val="21"/>
          </w:rPr>
          <w:t>09/06/2021 : IS - Crédit d'impôt en faveur des représentations théâtrales d'œuvres dramatiques (loi n° 2020-1721 du 29 décembre 2020 de finances pour 2021, art. 22)</w:t>
        </w:r>
      </w:hyperlink>
    </w:p>
    <w:p w14:paraId="1CB0E062"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5" w:tooltip="09/06/2021 : RES - Taxe sur la valeur ajoutée - Opérations concourant à la production ou à la livraison d'immeubles - Logement social - Date d'appréciation des conditions de ressources et de la catégorie du ménage pour l'application du taux réduit - Rescrit - " w:history="1">
        <w:r w:rsidR="0028566B" w:rsidRPr="00D02C07">
          <w:rPr>
            <w:rStyle w:val="Lienhypertexte"/>
            <w:rFonts w:ascii="Open Sans" w:hAnsi="Open Sans" w:cs="Open Sans"/>
            <w:sz w:val="21"/>
            <w:szCs w:val="21"/>
            <w:highlight w:val="green"/>
          </w:rPr>
          <w:t>09/06/2021 : RES - Taxe sur la valeur ajoutée - Opérations concourant à la production ou à la livraison d'immeubles - Logement social - Date d'appréciation des conditions de ressources et de la catégorie du ménage pour l'application du taux réduit - Rescrit - Rectificatif</w:t>
        </w:r>
      </w:hyperlink>
    </w:p>
    <w:p w14:paraId="489CD523"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6" w:tooltip="02/06/2021 : TVA - Suppression de l'assujettissement à la TVA des gains de courses hippiques soumis à un aléa (loi n° 2020-1721 du 29 décembre 2020 de finances pour 2021, art. 52) " w:history="1">
        <w:r w:rsidR="0028566B">
          <w:rPr>
            <w:rStyle w:val="Lienhypertexte"/>
            <w:rFonts w:ascii="Open Sans" w:hAnsi="Open Sans" w:cs="Open Sans"/>
            <w:sz w:val="21"/>
            <w:szCs w:val="21"/>
          </w:rPr>
          <w:t>02/06/2021 : TVA - Suppression de l'assujettissement à la TVA des gains de courses hippiques soumis à un aléa (loi n° 2020-1721 du 29 décembre 2020 de finances pour 2021, art. 52)</w:t>
        </w:r>
      </w:hyperlink>
    </w:p>
    <w:p w14:paraId="43A968C5" w14:textId="77777777" w:rsidR="0028566B" w:rsidRDefault="003B70A3" w:rsidP="0028566B">
      <w:pPr>
        <w:pStyle w:val="NormalWeb"/>
        <w:shd w:val="clear" w:color="auto" w:fill="FFFFFF"/>
        <w:spacing w:before="0" w:after="150"/>
        <w:jc w:val="both"/>
        <w:rPr>
          <w:rFonts w:ascii="Open Sans" w:hAnsi="Open Sans" w:cs="Open Sans"/>
          <w:color w:val="333333"/>
          <w:sz w:val="21"/>
          <w:szCs w:val="21"/>
        </w:rPr>
      </w:pPr>
      <w:hyperlink r:id="rId47" w:tooltip="02/06/2021 : INT - Conventions fiscales entre la France et la Principauté de Monaco" w:history="1">
        <w:r w:rsidR="0028566B">
          <w:rPr>
            <w:rStyle w:val="Lienhypertexte"/>
            <w:rFonts w:ascii="Open Sans" w:hAnsi="Open Sans" w:cs="Open Sans"/>
            <w:sz w:val="21"/>
            <w:szCs w:val="21"/>
          </w:rPr>
          <w:t>02/06/2021 : INT - Conventions fiscales entre la France et la Principauté de Monaco</w:t>
        </w:r>
      </w:hyperlink>
    </w:p>
    <w:p w14:paraId="310E3039" w14:textId="383FF266" w:rsidR="002F368F" w:rsidRPr="002F368F" w:rsidRDefault="002F368F" w:rsidP="002F368F">
      <w:pPr>
        <w:pStyle w:val="NormalWeb"/>
        <w:shd w:val="clear" w:color="auto" w:fill="FFFFFF"/>
        <w:spacing w:before="0" w:after="150"/>
        <w:jc w:val="both"/>
        <w:rPr>
          <w:rFonts w:ascii="Open Sans" w:hAnsi="Open Sans" w:cs="Open Sans"/>
          <w:color w:val="333333"/>
          <w:sz w:val="20"/>
          <w:szCs w:val="20"/>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48"/>
      <w:headerReference w:type="first" r:id="rId49"/>
      <w:footerReference w:type="first" r:id="rId50"/>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BC993" w14:textId="77777777" w:rsidR="003B70A3" w:rsidRDefault="003B70A3">
      <w:r>
        <w:separator/>
      </w:r>
    </w:p>
  </w:endnote>
  <w:endnote w:type="continuationSeparator" w:id="0">
    <w:p w14:paraId="0B2CC018" w14:textId="77777777" w:rsidR="003B70A3" w:rsidRDefault="003B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0DD980E4-0183-44A2-B53E-63A647D3FFC1}"/>
    <w:embedBold r:id="rId2" w:fontKey="{41B30BE3-B7AD-4558-90A8-CDF1CF7E4AD8}"/>
    <w:embedBoldItalic r:id="rId3" w:fontKey="{AFCFE17C-6706-43FC-A1EE-410ABA11B868}"/>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B8D899F2-6EA0-400A-9E55-26711FB0F3DD}"/>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5BB5B8C3-63E3-482E-94BC-4EAC888FFBA9}"/>
  </w:font>
  <w:font w:name="Open Sans">
    <w:panose1 w:val="020B0606030504020204"/>
    <w:charset w:val="00"/>
    <w:family w:val="swiss"/>
    <w:pitch w:val="variable"/>
    <w:sig w:usb0="E00002EF" w:usb1="4000205B" w:usb2="00000028" w:usb3="00000000" w:csb0="0000019F" w:csb1="00000000"/>
    <w:embedRegular r:id="rId6" w:fontKey="{EC1123CE-7B93-4179-B5E7-2D43DA117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2D30" w14:textId="77777777" w:rsidR="003B70A3" w:rsidRDefault="003B70A3">
      <w:r>
        <w:separator/>
      </w:r>
    </w:p>
  </w:footnote>
  <w:footnote w:type="continuationSeparator" w:id="0">
    <w:p w14:paraId="711F0BE7" w14:textId="77777777" w:rsidR="003B70A3" w:rsidRDefault="003B7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77777777"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-2021-06</w:t>
          </w:r>
          <w:r>
            <w:rPr>
              <w:sz w:val="20"/>
            </w:rPr>
            <w:fldChar w:fldCharType="end"/>
          </w:r>
        </w:p>
        <w:p w14:paraId="6D4A75FB" w14:textId="73A42111"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E3229F">
            <w:rPr>
              <w:sz w:val="20"/>
            </w:rPr>
            <w:t>29</w:t>
          </w:r>
          <w:r w:rsidR="00142627">
            <w:rPr>
              <w:sz w:val="20"/>
            </w:rPr>
            <w:t xml:space="preserve"> juin</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r w:rsidRPr="00F5762B">
            <w:rPr>
              <w:color w:val="143300"/>
              <w:spacing w:val="16"/>
              <w:w w:val="97"/>
              <w:sz w:val="20"/>
            </w:rPr>
            <w:t>s.a.r.l.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46" type="#_x0000_t75" style="width:3in;height:3in" o:bullet="t"/>
    </w:pict>
  </w:numPicBullet>
  <w:numPicBullet w:numPicBulletId="1">
    <w:pict>
      <v:shape id="_x0000_i2947" type="#_x0000_t75" style="width:3in;height:3in" o:bullet="t"/>
    </w:pict>
  </w:numPicBullet>
  <w:numPicBullet w:numPicBulletId="2">
    <w:pict>
      <v:shape id="_x0000_i2948" type="#_x0000_t75" style="width:3in;height:3in" o:bullet="t"/>
    </w:pict>
  </w:numPicBullet>
  <w:numPicBullet w:numPicBulletId="3">
    <w:pict>
      <v:shape id="_x0000_i2949" type="#_x0000_t75" style="width:3in;height:3in" o:bullet="t"/>
    </w:pict>
  </w:numPicBullet>
  <w:numPicBullet w:numPicBulletId="4">
    <w:pict>
      <v:shape id="_x0000_i2950" type="#_x0000_t75" style="width:3in;height:3in" o:bullet="t"/>
    </w:pict>
  </w:numPicBullet>
  <w:numPicBullet w:numPicBulletId="5">
    <w:pict>
      <v:shape id="_x0000_i2951" type="#_x0000_t75" style="width:3in;height:3in" o:bullet="t"/>
    </w:pict>
  </w:numPicBullet>
  <w:numPicBullet w:numPicBulletId="6">
    <w:pict>
      <v:shape id="_x0000_i2952" type="#_x0000_t75" style="width:3in;height:3in" o:bullet="t"/>
    </w:pict>
  </w:numPicBullet>
  <w:numPicBullet w:numPicBulletId="7">
    <w:pict>
      <v:shape id="_x0000_i2953" type="#_x0000_t75" style="width:3in;height:3in" o:bullet="t"/>
    </w:pict>
  </w:numPicBullet>
  <w:numPicBullet w:numPicBulletId="8">
    <w:pict>
      <v:shape id="_x0000_i2954" type="#_x0000_t75" style="width:3in;height:3in" o:bullet="t"/>
    </w:pict>
  </w:numPicBullet>
  <w:numPicBullet w:numPicBulletId="9">
    <w:pict>
      <v:shape id="_x0000_i2955" type="#_x0000_t75" style="width:3in;height:3in" o:bullet="t"/>
    </w:pict>
  </w:numPicBullet>
  <w:numPicBullet w:numPicBulletId="10">
    <w:pict>
      <v:shape id="_x0000_i2956" type="#_x0000_t75" style="width:3in;height:3in" o:bullet="t"/>
    </w:pict>
  </w:numPicBullet>
  <w:numPicBullet w:numPicBulletId="11">
    <w:pict>
      <v:shape id="_x0000_i2957" type="#_x0000_t75" style="width:3in;height:3in" o:bullet="t"/>
    </w:pict>
  </w:numPicBullet>
  <w:numPicBullet w:numPicBulletId="12">
    <w:pict>
      <v:shape id="_x0000_i2958" type="#_x0000_t75" style="width:3in;height:3in" o:bullet="t"/>
    </w:pict>
  </w:numPicBullet>
  <w:numPicBullet w:numPicBulletId="13">
    <w:pict>
      <v:shape id="_x0000_i2959" type="#_x0000_t75" style="width:3in;height:3in" o:bullet="t"/>
    </w:pict>
  </w:numPicBullet>
  <w:numPicBullet w:numPicBulletId="14">
    <w:pict>
      <v:shape id="_x0000_i2960" type="#_x0000_t75" style="width:3in;height:3in" o:bullet="t"/>
    </w:pict>
  </w:numPicBullet>
  <w:numPicBullet w:numPicBulletId="15">
    <w:pict>
      <v:shape id="_x0000_i2961" type="#_x0000_t75" style="width:3in;height:3in" o:bullet="t"/>
    </w:pict>
  </w:numPicBullet>
  <w:numPicBullet w:numPicBulletId="16">
    <w:pict>
      <v:shape id="_x0000_i2962" type="#_x0000_t75" style="width:3in;height:3in" o:bullet="t"/>
    </w:pict>
  </w:numPicBullet>
  <w:numPicBullet w:numPicBulletId="17">
    <w:pict>
      <v:shape id="_x0000_i2963" type="#_x0000_t75" style="width:3in;height:3in" o:bullet="t"/>
    </w:pict>
  </w:numPicBullet>
  <w:numPicBullet w:numPicBulletId="18">
    <w:pict>
      <v:shape id="_x0000_i2964" type="#_x0000_t75" style="width:3in;height:3in" o:bullet="t"/>
    </w:pict>
  </w:numPicBullet>
  <w:numPicBullet w:numPicBulletId="19">
    <w:pict>
      <v:shape id="_x0000_i29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1"/>
  </w:num>
  <w:num w:numId="5">
    <w:abstractNumId w:val="25"/>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2"/>
  </w:num>
  <w:num w:numId="14">
    <w:abstractNumId w:val="23"/>
  </w:num>
  <w:num w:numId="15">
    <w:abstractNumId w:val="26"/>
  </w:num>
  <w:num w:numId="16">
    <w:abstractNumId w:val="2"/>
  </w:num>
  <w:num w:numId="17">
    <w:abstractNumId w:val="27"/>
  </w:num>
  <w:num w:numId="18">
    <w:abstractNumId w:val="17"/>
  </w:num>
  <w:num w:numId="19">
    <w:abstractNumId w:val="22"/>
  </w:num>
  <w:num w:numId="20">
    <w:abstractNumId w:val="24"/>
  </w:num>
  <w:num w:numId="21">
    <w:abstractNumId w:val="28"/>
  </w:num>
  <w:num w:numId="22">
    <w:abstractNumId w:val="30"/>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3"/>
  </w:num>
  <w:num w:numId="32">
    <w:abstractNumId w:val="29"/>
  </w:num>
  <w:num w:numId="33">
    <w:abstractNumId w:val="1"/>
  </w:num>
  <w:num w:numId="34">
    <w:abstractNumId w:val="21"/>
    <w:lvlOverride w:ilvl="0">
      <w:startOverride w:val="17"/>
    </w:lvlOverride>
  </w:num>
  <w:num w:numId="35">
    <w:abstractNumId w:val="21"/>
    <w:lvlOverride w:ilvl="0">
      <w:startOverride w:val="18"/>
    </w:lvlOverride>
  </w:num>
  <w:num w:numId="36">
    <w:abstractNumId w:val="21"/>
    <w:lvlOverride w:ilvl="0">
      <w:startOverride w:val="19"/>
    </w:lvlOverride>
  </w:num>
  <w:num w:numId="37">
    <w:abstractNumId w:val="21"/>
    <w:lvlOverride w:ilvl="0">
      <w:startOverride w:val="20"/>
    </w:lvlOverride>
  </w:num>
  <w:num w:numId="38">
    <w:abstractNumId w:val="21"/>
    <w:lvlOverride w:ilvl="0">
      <w:startOverride w:val="21"/>
    </w:lvlOverride>
  </w:num>
  <w:num w:numId="39">
    <w:abstractNumId w:val="21"/>
    <w:lvlOverride w:ilvl="0">
      <w:startOverride w:val="22"/>
    </w:lvlOverride>
  </w:num>
  <w:num w:numId="40">
    <w:abstractNumId w:val="21"/>
    <w:lvlOverride w:ilvl="0">
      <w:startOverride w:val="23"/>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EB"/>
    <w:rsid w:val="0042642B"/>
    <w:rsid w:val="00426620"/>
    <w:rsid w:val="004269B3"/>
    <w:rsid w:val="00426AED"/>
    <w:rsid w:val="004270D6"/>
    <w:rsid w:val="004274B5"/>
    <w:rsid w:val="00427B66"/>
    <w:rsid w:val="00430F52"/>
    <w:rsid w:val="0043114C"/>
    <w:rsid w:val="004324DE"/>
    <w:rsid w:val="00432754"/>
    <w:rsid w:val="00432C69"/>
    <w:rsid w:val="00432F68"/>
    <w:rsid w:val="00433A4A"/>
    <w:rsid w:val="00434165"/>
    <w:rsid w:val="00434F5E"/>
    <w:rsid w:val="004353E9"/>
    <w:rsid w:val="0043628A"/>
    <w:rsid w:val="004378F6"/>
    <w:rsid w:val="004408BD"/>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B31"/>
    <w:rsid w:val="007A0CFC"/>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6EB9"/>
    <w:rsid w:val="00887193"/>
    <w:rsid w:val="00887E2A"/>
    <w:rsid w:val="00890109"/>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30B3"/>
    <w:rsid w:val="00A04E89"/>
    <w:rsid w:val="00A04E9F"/>
    <w:rsid w:val="00A05CA0"/>
    <w:rsid w:val="00A07C5E"/>
    <w:rsid w:val="00A1006C"/>
    <w:rsid w:val="00A11F22"/>
    <w:rsid w:val="00A12A3B"/>
    <w:rsid w:val="00A12BE6"/>
    <w:rsid w:val="00A12FD7"/>
    <w:rsid w:val="00A1513A"/>
    <w:rsid w:val="00A15228"/>
    <w:rsid w:val="00A155D6"/>
    <w:rsid w:val="00A159D1"/>
    <w:rsid w:val="00A15B3A"/>
    <w:rsid w:val="00A163CC"/>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fip.impots.gouv.fr/bofip/13185-PGP.html/ACTU-2021-00213" TargetMode="External"/><Relationship Id="rId18" Type="http://schemas.openxmlformats.org/officeDocument/2006/relationships/hyperlink" Target="https://www.anc.gouv.fr/files/live/sites/anc/files/contributed/ANC/1_Normes_fran%c3%a7aises/Reglements/2021/R2021_02/R2021_02.pdf" TargetMode="External"/><Relationship Id="rId26" Type="http://schemas.openxmlformats.org/officeDocument/2006/relationships/hyperlink" Target="http://www.senat.fr/questions/base/2021/qSEQ210523076.html" TargetMode="External"/><Relationship Id="rId39" Type="http://schemas.openxmlformats.org/officeDocument/2006/relationships/hyperlink" Target="https://bofip.impots.gouv.fr/bofip/13077-PGP.html/ACTU-2021-00177" TargetMode="External"/><Relationship Id="rId3" Type="http://schemas.openxmlformats.org/officeDocument/2006/relationships/styles" Target="styles.xml"/><Relationship Id="rId21" Type="http://schemas.openxmlformats.org/officeDocument/2006/relationships/hyperlink" Target="https://www.anc.gouv.fr/files/live/sites/anc/files/contributed/ANC/1_Normes_fran%c3%a7aises/Recommandations/RECO2021/RECO_Obs_Covid_juin2021/Document_detaille.pdf" TargetMode="External"/><Relationship Id="rId34" Type="http://schemas.openxmlformats.org/officeDocument/2006/relationships/hyperlink" Target="https://bofip.impots.gouv.fr/bofip/13051-PGP.html/ACTU-2021-00166" TargetMode="External"/><Relationship Id="rId42" Type="http://schemas.openxmlformats.org/officeDocument/2006/relationships/hyperlink" Target="https://bofip.impots.gouv.fr/bofip/13152-PGP.html/ACTU-2021-00202" TargetMode="External"/><Relationship Id="rId47" Type="http://schemas.openxmlformats.org/officeDocument/2006/relationships/hyperlink" Target="https://bofip.impots.gouv.fr/bofip/13034-PGP.html/ACTU-2021-00158"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ofip.impots.gouv.fr/bofip/13152-PGP.html/ACTU-2021-00202" TargetMode="External"/><Relationship Id="rId17" Type="http://schemas.openxmlformats.org/officeDocument/2006/relationships/hyperlink" Target="https://www.anc.gouv.fr/files/live/sites/anc/files/contributed/ANC/1_Normes_fran%c3%a7aises/Reglements/2021/R2021_03/R2021_03_Recueil.pdf" TargetMode="External"/><Relationship Id="rId25" Type="http://schemas.openxmlformats.org/officeDocument/2006/relationships/hyperlink" Target="https://www.legifrance.gouv.fr/jorf/id/JORFTEXT000043646095" TargetMode="External"/><Relationship Id="rId33" Type="http://schemas.openxmlformats.org/officeDocument/2006/relationships/hyperlink" Target="https://bofip.impots.gouv.fr/bofip/13192-PGP.html/ACTU-2021-00215" TargetMode="External"/><Relationship Id="rId38" Type="http://schemas.openxmlformats.org/officeDocument/2006/relationships/hyperlink" Target="https://bofip.impots.gouv.fr/bofip/13185-PGP.html/ACTU-2021-00213" TargetMode="External"/><Relationship Id="rId46" Type="http://schemas.openxmlformats.org/officeDocument/2006/relationships/hyperlink" Target="https://bofip.impots.gouv.fr/bofip/13139-PGP.html/ACTU-2021-00200" TargetMode="External"/><Relationship Id="rId2" Type="http://schemas.openxmlformats.org/officeDocument/2006/relationships/numbering" Target="numbering.xml"/><Relationship Id="rId16" Type="http://schemas.openxmlformats.org/officeDocument/2006/relationships/hyperlink" Target="https://www.anc.gouv.fr/files/live/sites/anc/files/contributed/ANC/1_Normes_fran%c3%a7aises/Reglements/2021/R2021_03/R2021_03.pdf" TargetMode="External"/><Relationship Id="rId20" Type="http://schemas.openxmlformats.org/officeDocument/2006/relationships/hyperlink" Target="https://www.anc.gouv.fr/files/live/sites/anc/files/contributed/ANC/1_Normes_fran%c3%a7aises/Recommandations/RECO2021/RECO_Obs_Covid_juin2021/Synthese.pdf" TargetMode="External"/><Relationship Id="rId29" Type="http://schemas.openxmlformats.org/officeDocument/2006/relationships/hyperlink" Target="https://www.legifrance.gouv.fr/juri/id/JURITEXT000043618226?dateDecision=03%2F06%2F2021&amp;page=1&amp;pageSize=10&amp;query=488&amp;searchField=ALL&amp;searchType=ALL&amp;sortValue=DATE_DESC&amp;tab_selection=juri&amp;typePagination=DEFAULT" TargetMode="External"/><Relationship Id="rId41" Type="http://schemas.openxmlformats.org/officeDocument/2006/relationships/hyperlink" Target="https://bofip.impots.gouv.fr/bofip/13063-PGP.html/ACTU-2021-00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ceta/id/CETATEXT000043278995?juridiction=COURS_APPEL&amp;page=1&amp;pageSize=10&amp;query=n%C2%B0+19LY00501&amp;searchField=ALL&amp;searchType=ALL&amp;sortValue=DATE_DESC&amp;tab_selection=cetat" TargetMode="External"/><Relationship Id="rId24" Type="http://schemas.openxmlformats.org/officeDocument/2006/relationships/hyperlink" Target="https://www.legifrance.gouv.fr/loda/id/JORFTEXT000043523262?dateVersion=28%2F06%2F2021&amp;etatArticle=ABROGE_DIFF&amp;etatArticle=VIGUEUR&amp;etatTexte=ABROGE_DIFF&amp;etatTexte=VIGUEUR&amp;nature=DECRET&amp;page=1&amp;pageSize=10&amp;query=2021-631&amp;searchField=ALL&amp;searchType=ALL&amp;sortValue=SIGNATURE_DATE_DESC&amp;tab_selection=lawarticledecree&amp;typePagination=DEFAUT&amp;typeRecherche=date" TargetMode="External"/><Relationship Id="rId32" Type="http://schemas.openxmlformats.org/officeDocument/2006/relationships/hyperlink" Target="https://bofip.impots.gouv.fr/bofip/13069-PGP.html/ACTU-2021-00174" TargetMode="External"/><Relationship Id="rId37" Type="http://schemas.openxmlformats.org/officeDocument/2006/relationships/hyperlink" Target="https://bofip.impots.gouv.fr/bofip/13076-PGP.html/ACTU-2021-00176" TargetMode="External"/><Relationship Id="rId40" Type="http://schemas.openxmlformats.org/officeDocument/2006/relationships/hyperlink" Target="https://bofip.impots.gouv.fr/bofip/12741-PGP.html/ACTU-2021-00013" TargetMode="External"/><Relationship Id="rId45" Type="http://schemas.openxmlformats.org/officeDocument/2006/relationships/hyperlink" Target="https://bofip.impots.gouv.fr/bofip/13153-PGP.html/ACTU-2021-00203" TargetMode="External"/><Relationship Id="rId5" Type="http://schemas.openxmlformats.org/officeDocument/2006/relationships/webSettings" Target="webSettings.xml"/><Relationship Id="rId15" Type="http://schemas.openxmlformats.org/officeDocument/2006/relationships/hyperlink" Target="https://www.anc.gouv.fr/files/live/sites/anc/files/contributed/ANC/1_Normes_fran%c3%a7aises/Reglements/Recueils/Recueil%20comptable%20entreprises/2021/Recueil-normes-comptables_2021.pdf" TargetMode="External"/><Relationship Id="rId23" Type="http://schemas.openxmlformats.org/officeDocument/2006/relationships/hyperlink" Target="https://www.legifrance.gouv.fr/jorf/id/JORFTEXT000043604928" TargetMode="External"/><Relationship Id="rId28" Type="http://schemas.openxmlformats.org/officeDocument/2006/relationships/hyperlink" Target="https://www.legifrance.gouv.fr/ceta/id/CETATEXT000043672594?juridiction=CONSEIL_ETAT&amp;juridiction=COURS_APPEL&amp;juridiction=TRIBUNAL_ADMINISTATIF&amp;juridiction=TRIBUNAL_CONFLIT&amp;page=1&amp;pageSize=10&amp;query=432682+et+436311+&amp;searchField=ALL&amp;searchType=ALL&amp;sortValue=DATE_DESC&amp;tab_selection=cetat" TargetMode="External"/><Relationship Id="rId36" Type="http://schemas.openxmlformats.org/officeDocument/2006/relationships/hyperlink" Target="https://bofip.impots.gouv.fr/bofip/13174-PGP.html/ACTU-2021-00206" TargetMode="External"/><Relationship Id="rId49" Type="http://schemas.openxmlformats.org/officeDocument/2006/relationships/header" Target="header2.xml"/><Relationship Id="rId10" Type="http://schemas.openxmlformats.org/officeDocument/2006/relationships/hyperlink" Target="https://www.legifrance.gouv.fr/ceta/id/CETATEXT000043587812?page=1&amp;pageSize=10&amp;query=441739&amp;searchField=ALL&amp;searchType=ALL&amp;sortValue=DATE_DESC&amp;tab_selection=cetat" TargetMode="External"/><Relationship Id="rId19" Type="http://schemas.openxmlformats.org/officeDocument/2006/relationships/hyperlink" Target="https://www.anc.gouv.fr/files/live/sites/anc/files/contributed/ANC/1_Normes_fran%c3%a7aises/Reglements/2021/R2021_02/R2021_02_Recueil.pdf" TargetMode="External"/><Relationship Id="rId31" Type="http://schemas.openxmlformats.org/officeDocument/2006/relationships/hyperlink" Target="https://www.economie.gouv.fr/files/files/directions_services/daj/marches_publics/oecp/recensement/ppt-recensement%20chiffres%202019.pdf" TargetMode="External"/><Relationship Id="rId44" Type="http://schemas.openxmlformats.org/officeDocument/2006/relationships/hyperlink" Target="https://bofip.impots.gouv.fr/bofip/12958-PGP.html/ACTU-2021-0012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fip.impots.gouv.fr/bofip/13153-PGP.html/ACTU-2021-00203" TargetMode="External"/><Relationship Id="rId14" Type="http://schemas.openxmlformats.org/officeDocument/2006/relationships/hyperlink" Target="https://www.legifrance.gouv.fr/ceta/id/CETATEXT000043246431?page=1&amp;pageSize=10&amp;query=442602&amp;searchField=ALL&amp;searchType=ALL&amp;sortValue=DATE_DESC&amp;tab_selection=cetat" TargetMode="External"/><Relationship Id="rId22" Type="http://schemas.openxmlformats.org/officeDocument/2006/relationships/hyperlink" Target="https://www.anc.gouv.fr/files/live/sites/anc/files/contributed/ANC/1_Normes_fran%c3%a7aises/Recommandations/RECO2021/RECO_Obs_Covid_juin2021/Exemples_de_mise_en_oeuvre_de_la_question_D1.pdf" TargetMode="External"/><Relationship Id="rId27" Type="http://schemas.openxmlformats.org/officeDocument/2006/relationships/hyperlink" Target="https://questions.assemblee-nationale.fr/q15/15-25591QE.htm" TargetMode="External"/><Relationship Id="rId30" Type="http://schemas.openxmlformats.org/officeDocument/2006/relationships/hyperlink" Target="https://www.legifrance.gouv.fr/ceta/id/CETATEXT000043511742?init=true&amp;page=1&amp;query=443153&amp;searchField=ALL&amp;tab_selection=all" TargetMode="External"/><Relationship Id="rId35" Type="http://schemas.openxmlformats.org/officeDocument/2006/relationships/hyperlink" Target="https://bofip.impots.gouv.fr/bofip/12952-PGP.html/ACTU-2021-00126" TargetMode="External"/><Relationship Id="rId43" Type="http://schemas.openxmlformats.org/officeDocument/2006/relationships/hyperlink" Target="https://bofip.impots.gouv.fr/bofip/13070-PGP.html/ACTU-2021-00175" TargetMode="External"/><Relationship Id="rId48" Type="http://schemas.openxmlformats.org/officeDocument/2006/relationships/header" Target="header1.xml"/><Relationship Id="rId8" Type="http://schemas.openxmlformats.org/officeDocument/2006/relationships/hyperlink" Target="https://bofip.impots.gouv.fr/bofip/13070-PGP.html/ACTU-2021-00175"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6</Pages>
  <Words>2954</Words>
  <Characters>16253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19169</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32</cp:revision>
  <cp:lastPrinted>2020-08-04T09:31:00Z</cp:lastPrinted>
  <dcterms:created xsi:type="dcterms:W3CDTF">2021-03-04T15:01:00Z</dcterms:created>
  <dcterms:modified xsi:type="dcterms:W3CDTF">2021-06-29T09:07:00Z</dcterms:modified>
</cp:coreProperties>
</file>