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7262BE34"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A57E3D">
              <w:rPr>
                <w:rFonts w:ascii="Times New Roman" w:eastAsia="Times New Roman" w:hAnsi="Times New Roman"/>
                <w:noProof/>
                <w:sz w:val="20"/>
              </w:rPr>
              <w:t>0</w:t>
            </w:r>
            <w:r w:rsidR="00142627">
              <w:rPr>
                <w:rFonts w:ascii="Times New Roman" w:eastAsia="Times New Roman" w:hAnsi="Times New Roman"/>
                <w:noProof/>
                <w:sz w:val="20"/>
              </w:rPr>
              <w:t>5</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411AC1AA" w:rsidR="003565C4" w:rsidRPr="00D12904" w:rsidRDefault="00E911FE" w:rsidP="00E911FE">
            <w:pPr>
              <w:pStyle w:val="Corpsdetexte"/>
              <w:spacing w:before="0" w:after="0"/>
              <w:ind w:left="-8"/>
            </w:pPr>
            <w:r>
              <w:t>Paris</w:t>
            </w:r>
            <w:r w:rsidR="00B37B52" w:rsidRPr="00D12904">
              <w:t xml:space="preserve">, le </w:t>
            </w:r>
            <w:r w:rsidR="00142627">
              <w:t>1</w:t>
            </w:r>
            <w:r w:rsidR="00142627" w:rsidRPr="00142627">
              <w:rPr>
                <w:vertAlign w:val="superscript"/>
              </w:rPr>
              <w:t>er</w:t>
            </w:r>
            <w:r w:rsidR="00142627">
              <w:t xml:space="preserve"> juin</w:t>
            </w:r>
            <w:r w:rsidR="00A57E3D">
              <w:t xml:space="preserve"> 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201A4D82" w:rsidR="00D1561B" w:rsidRDefault="00596118" w:rsidP="00A01213">
      <w:pPr>
        <w:spacing w:before="120" w:after="0" w:line="240" w:lineRule="auto"/>
        <w:ind w:left="1701" w:hanging="1701"/>
      </w:pPr>
      <w:r w:rsidRPr="00122165">
        <w:rPr>
          <w:b/>
        </w:rPr>
        <w:t>IS :</w:t>
      </w:r>
      <w:r w:rsidR="00D47E79">
        <w:t xml:space="preserve"> </w:t>
      </w:r>
      <w:r w:rsidR="00D47E79">
        <w:tab/>
      </w:r>
      <w:r w:rsidR="00484256">
        <w:t>Pas de mécénat pour ls versement à un fonds de dotation qui distribue les sous à des organismes non éligibles -</w:t>
      </w:r>
    </w:p>
    <w:p w14:paraId="073D1CB1" w14:textId="28A12CED" w:rsidR="00916F7D" w:rsidRDefault="00596118" w:rsidP="00A01213">
      <w:pPr>
        <w:spacing w:before="120" w:after="0" w:line="240" w:lineRule="auto"/>
        <w:ind w:left="1701" w:hanging="1701"/>
      </w:pPr>
      <w:r w:rsidRPr="00122165">
        <w:rPr>
          <w:b/>
        </w:rPr>
        <w:t>TVA :</w:t>
      </w:r>
      <w:r w:rsidR="00DB56D6">
        <w:t xml:space="preserve"> </w:t>
      </w:r>
      <w:r w:rsidR="00DB56D6">
        <w:tab/>
      </w:r>
      <w:r w:rsidR="00484256">
        <w:t>Taux pour les ordures – TVA sur marge : identité matérielle et juridique du bien nécessaire – Suspension de TVA pour la vente d’un bien -</w:t>
      </w:r>
    </w:p>
    <w:p w14:paraId="4E8276DC" w14:textId="0850B36B" w:rsidR="001261C0" w:rsidRDefault="00596118" w:rsidP="00A01213">
      <w:pPr>
        <w:spacing w:before="120" w:after="0" w:line="240" w:lineRule="auto"/>
        <w:ind w:left="1701" w:hanging="1701"/>
      </w:pPr>
      <w:r w:rsidRPr="00122165">
        <w:rPr>
          <w:b/>
        </w:rPr>
        <w:t>Locaux :</w:t>
      </w:r>
      <w:r w:rsidR="004A7406">
        <w:tab/>
      </w:r>
      <w:r w:rsidR="00484256">
        <w:t>Rien à signaler</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6791E296" w:rsidR="00B50E23" w:rsidRDefault="00596118" w:rsidP="00A01213">
      <w:pPr>
        <w:spacing w:before="120" w:after="0" w:line="240" w:lineRule="auto"/>
        <w:ind w:left="1701" w:hanging="1701"/>
      </w:pPr>
      <w:r w:rsidRPr="00122165">
        <w:rPr>
          <w:b/>
        </w:rPr>
        <w:t>Divers</w:t>
      </w:r>
      <w:r w:rsidR="004A7406">
        <w:t xml:space="preserve"> :</w:t>
      </w:r>
      <w:r w:rsidR="004A7406">
        <w:tab/>
      </w:r>
      <w:r w:rsidR="00484256">
        <w:t>Barème 2021 des frais et avantages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02DB5805" w:rsidR="00B54BDA" w:rsidRDefault="00596118" w:rsidP="00A01213">
      <w:pPr>
        <w:spacing w:before="120" w:after="0" w:line="240" w:lineRule="auto"/>
        <w:ind w:left="1701" w:hanging="1701"/>
      </w:pPr>
      <w:r w:rsidRPr="00122165">
        <w:rPr>
          <w:b/>
        </w:rPr>
        <w:t>Publique :</w:t>
      </w:r>
      <w:r w:rsidR="00B00EF7">
        <w:t xml:space="preserve"> </w:t>
      </w:r>
      <w:r w:rsidR="00B00EF7">
        <w:tab/>
      </w:r>
      <w:r w:rsidR="00484256">
        <w:t>Rien à signaler</w:t>
      </w:r>
    </w:p>
    <w:p w14:paraId="5F6B1C19" w14:textId="654DD4EA" w:rsidR="005A391C" w:rsidRDefault="00596118" w:rsidP="00A01213">
      <w:pPr>
        <w:spacing w:before="120" w:after="0" w:line="240" w:lineRule="auto"/>
        <w:ind w:left="1701" w:hanging="1701"/>
      </w:pPr>
      <w:r w:rsidRPr="00122165">
        <w:rPr>
          <w:b/>
        </w:rPr>
        <w:t>Privée :</w:t>
      </w:r>
      <w:r w:rsidR="00B00EF7">
        <w:t xml:space="preserve"> </w:t>
      </w:r>
      <w:r w:rsidR="00B00EF7">
        <w:tab/>
      </w:r>
      <w:r w:rsidR="00484256">
        <w:t>ANC : comptabilité des coopératives agricoles – Le contrôleur des comptes ne peut pas être salarié – pas de faux bilan pour les comptes consolidés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42CF3119" w:rsidR="00B54BDA" w:rsidRDefault="00596118" w:rsidP="00A01213">
      <w:pPr>
        <w:spacing w:before="120" w:after="0" w:line="240" w:lineRule="auto"/>
        <w:ind w:left="1701" w:hanging="1701"/>
      </w:pPr>
      <w:r w:rsidRPr="00122165">
        <w:rPr>
          <w:b/>
        </w:rPr>
        <w:t>Textes :</w:t>
      </w:r>
      <w:r>
        <w:t xml:space="preserve"> </w:t>
      </w:r>
      <w:r w:rsidR="00223947">
        <w:tab/>
      </w:r>
      <w:r w:rsidR="00484256">
        <w:t>Rien à signaler</w:t>
      </w:r>
    </w:p>
    <w:p w14:paraId="41468130" w14:textId="2F9002FB" w:rsidR="006B1E5F" w:rsidRDefault="00596118" w:rsidP="00A01213">
      <w:pPr>
        <w:spacing w:before="120" w:after="0" w:line="240" w:lineRule="auto"/>
        <w:ind w:left="1701" w:hanging="1701"/>
      </w:pPr>
      <w:r w:rsidRPr="00122165">
        <w:rPr>
          <w:b/>
        </w:rPr>
        <w:t>Réponses :</w:t>
      </w:r>
      <w:r>
        <w:t xml:space="preserve"> </w:t>
      </w:r>
      <w:r w:rsidR="00223947">
        <w:tab/>
      </w:r>
      <w:r w:rsidR="00484256">
        <w:t>Rien à signaler</w:t>
      </w:r>
    </w:p>
    <w:p w14:paraId="48D6DEFC" w14:textId="62D919D5" w:rsidR="00CE269F" w:rsidRDefault="00596118" w:rsidP="00A01213">
      <w:pPr>
        <w:spacing w:before="120" w:after="0" w:line="240" w:lineRule="auto"/>
        <w:ind w:left="1701" w:hanging="1701"/>
      </w:pPr>
      <w:r w:rsidRPr="004E2169">
        <w:rPr>
          <w:b/>
          <w:spacing w:val="-8"/>
        </w:rPr>
        <w:t>Jurisprudence :</w:t>
      </w:r>
      <w:r>
        <w:t xml:space="preserve"> </w:t>
      </w:r>
      <w:r w:rsidR="00223947">
        <w:tab/>
      </w:r>
      <w:r w:rsidR="00484256">
        <w:t>Que le TEG et le bon soit porté dans le contrat, sinon le banquier n’est pas payé</w:t>
      </w:r>
    </w:p>
    <w:p w14:paraId="76354D80" w14:textId="219B64B9" w:rsidR="00004382" w:rsidRDefault="00596118" w:rsidP="00A01213">
      <w:pPr>
        <w:spacing w:before="120" w:after="0" w:line="240" w:lineRule="auto"/>
        <w:ind w:left="1701" w:hanging="1701"/>
      </w:pPr>
      <w:r w:rsidRPr="00122165">
        <w:rPr>
          <w:b/>
        </w:rPr>
        <w:t>Divers :</w:t>
      </w:r>
      <w:r>
        <w:t xml:space="preserve"> </w:t>
      </w:r>
      <w:r>
        <w:tab/>
      </w:r>
      <w:r w:rsidR="00484256">
        <w:t>Rien à signaler</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78508250" w14:textId="480969FF" w:rsidR="00383D04" w:rsidRPr="002F368F" w:rsidRDefault="00383D04" w:rsidP="00383D04">
      <w:pPr>
        <w:spacing w:before="120" w:after="120" w:line="240" w:lineRule="auto"/>
        <w:rPr>
          <w:rFonts w:cs="Times"/>
          <w:color w:val="003300"/>
          <w:szCs w:val="24"/>
        </w:rPr>
      </w:pPr>
      <w:r>
        <w:rPr>
          <w:rFonts w:cs="Times"/>
          <w:color w:val="003300"/>
          <w:szCs w:val="24"/>
          <w:u w:val="single"/>
        </w:rPr>
        <w:t>Mécénat</w:t>
      </w:r>
      <w:r w:rsidRPr="006B1429">
        <w:rPr>
          <w:rFonts w:cs="Times"/>
          <w:color w:val="003300"/>
          <w:szCs w:val="24"/>
          <w:u w:val="single"/>
        </w:rPr>
        <w:t xml:space="preserve"> </w:t>
      </w:r>
      <w:r w:rsidRPr="002F368F">
        <w:rPr>
          <w:rFonts w:cs="Times"/>
          <w:color w:val="003300"/>
          <w:szCs w:val="24"/>
        </w:rPr>
        <w:t xml:space="preserve">– </w:t>
      </w:r>
      <w:r w:rsidR="00C87F4E">
        <w:rPr>
          <w:rFonts w:cs="Times"/>
          <w:color w:val="003300"/>
          <w:szCs w:val="24"/>
        </w:rPr>
        <w:t>Pas d’application pour les versements fait à un fonds de dotation qui ne finance pas exclusivement des organismes éligibles.</w:t>
      </w:r>
    </w:p>
    <w:p w14:paraId="40D9D2E5" w14:textId="639F773D" w:rsidR="002F368F" w:rsidRDefault="006C31EE" w:rsidP="00C87F4E">
      <w:pPr>
        <w:spacing w:before="120" w:after="0" w:line="240" w:lineRule="auto"/>
        <w:ind w:left="567"/>
      </w:pPr>
      <w:hyperlink r:id="rId8" w:history="1">
        <w:r w:rsidR="00C87F4E" w:rsidRPr="00C87F4E">
          <w:rPr>
            <w:rStyle w:val="Lienhypertexte"/>
          </w:rPr>
          <w:t>BOI-RES-BIC-000087-07/04/2021</w:t>
        </w:r>
      </w:hyperlink>
    </w:p>
    <w:p w14:paraId="62E80419" w14:textId="2BC5083D"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118FB0F2" w14:textId="3653B08E" w:rsidR="002F368F" w:rsidRPr="002F368F" w:rsidRDefault="002F368F" w:rsidP="002F368F">
      <w:pPr>
        <w:spacing w:before="120" w:after="120" w:line="240" w:lineRule="auto"/>
        <w:rPr>
          <w:rFonts w:cs="Times"/>
          <w:color w:val="003300"/>
          <w:szCs w:val="24"/>
        </w:rPr>
      </w:pPr>
      <w:r>
        <w:rPr>
          <w:rFonts w:cs="Times"/>
          <w:color w:val="003300"/>
          <w:szCs w:val="24"/>
          <w:u w:val="single"/>
        </w:rPr>
        <w:t>Les ordures ménagères</w:t>
      </w:r>
      <w:r w:rsidRPr="006B1429">
        <w:rPr>
          <w:rFonts w:cs="Times"/>
          <w:color w:val="003300"/>
          <w:szCs w:val="24"/>
          <w:u w:val="single"/>
        </w:rPr>
        <w:t xml:space="preserve"> </w:t>
      </w:r>
      <w:r w:rsidRPr="002F368F">
        <w:rPr>
          <w:rFonts w:cs="Times"/>
          <w:color w:val="003300"/>
          <w:szCs w:val="24"/>
        </w:rPr>
        <w:t xml:space="preserve">– </w:t>
      </w:r>
      <w:r>
        <w:rPr>
          <w:rFonts w:cs="Times"/>
          <w:color w:val="003300"/>
          <w:szCs w:val="24"/>
        </w:rPr>
        <w:t>Les taux de TVA</w:t>
      </w:r>
    </w:p>
    <w:p w14:paraId="4109BD15" w14:textId="77777777" w:rsidR="002F368F" w:rsidRPr="002F368F" w:rsidRDefault="006C31EE" w:rsidP="002F368F">
      <w:pPr>
        <w:pStyle w:val="NormalWeb"/>
        <w:shd w:val="clear" w:color="auto" w:fill="FFFFFF"/>
        <w:spacing w:before="120" w:after="120"/>
        <w:ind w:left="567"/>
        <w:jc w:val="both"/>
        <w:rPr>
          <w:rFonts w:ascii="Open Sans" w:hAnsi="Open Sans" w:cs="Open Sans"/>
          <w:color w:val="333333"/>
          <w:sz w:val="20"/>
          <w:szCs w:val="20"/>
        </w:rPr>
      </w:pPr>
      <w:hyperlink r:id="rId9" w:tooltip="19/05/2021 : TVA - Taux applicables aux prestations relevant du service public de gestion des déchets des ménages (loi n° 2018-1317 du 28 décembre 2018 de finances pour 2019, art. 190)" w:history="1">
        <w:r w:rsidR="002F368F" w:rsidRPr="002F368F">
          <w:rPr>
            <w:rStyle w:val="Lienhypertexte"/>
            <w:rFonts w:ascii="Open Sans" w:hAnsi="Open Sans" w:cs="Open Sans"/>
            <w:sz w:val="20"/>
            <w:szCs w:val="20"/>
          </w:rPr>
          <w:t>19/05/2021 : TVA - Taux applicables aux prestations relevant du service public de gestion des déchets des ménages (loi n° 2018-1317 du 28 décembre 2018 de finances pour 2019, art. 190)</w:t>
        </w:r>
      </w:hyperlink>
    </w:p>
    <w:p w14:paraId="64E0E708" w14:textId="16AB47D2" w:rsidR="00FD003B" w:rsidRPr="002F368F" w:rsidRDefault="00FD003B" w:rsidP="00FD003B">
      <w:pPr>
        <w:spacing w:before="120" w:after="120" w:line="240" w:lineRule="auto"/>
        <w:rPr>
          <w:rFonts w:cs="Times"/>
          <w:color w:val="003300"/>
          <w:szCs w:val="24"/>
        </w:rPr>
      </w:pPr>
      <w:r>
        <w:rPr>
          <w:rFonts w:cs="Times"/>
          <w:color w:val="003300"/>
          <w:szCs w:val="24"/>
          <w:u w:val="single"/>
        </w:rPr>
        <w:t>TVA sur la marge</w:t>
      </w:r>
      <w:r w:rsidRPr="006B1429">
        <w:rPr>
          <w:rFonts w:cs="Times"/>
          <w:color w:val="003300"/>
          <w:szCs w:val="24"/>
          <w:u w:val="single"/>
        </w:rPr>
        <w:t xml:space="preserve"> </w:t>
      </w:r>
      <w:r w:rsidRPr="002F368F">
        <w:rPr>
          <w:rFonts w:cs="Times"/>
          <w:color w:val="003300"/>
          <w:szCs w:val="24"/>
        </w:rPr>
        <w:t xml:space="preserve">– </w:t>
      </w:r>
      <w:r w:rsidR="003A5C06">
        <w:rPr>
          <w:rFonts w:cs="Times"/>
          <w:color w:val="003300"/>
          <w:szCs w:val="24"/>
        </w:rPr>
        <w:t>Il faut une identité juridique et matérielle du bien pour qu’elle soit mise en œuvre.</w:t>
      </w:r>
    </w:p>
    <w:p w14:paraId="6F523D62" w14:textId="5433B290" w:rsidR="002F368F" w:rsidRPr="003A5C06" w:rsidRDefault="006C31EE" w:rsidP="003A5C06">
      <w:pPr>
        <w:keepNext/>
        <w:spacing w:before="120" w:after="0" w:line="240" w:lineRule="auto"/>
        <w:ind w:left="567"/>
        <w:rPr>
          <w:rFonts w:cs="Times"/>
          <w:color w:val="003300"/>
          <w:szCs w:val="24"/>
        </w:rPr>
      </w:pPr>
      <w:hyperlink r:id="rId10" w:history="1">
        <w:proofErr w:type="spellStart"/>
        <w:r w:rsidR="003A5C06" w:rsidRPr="003A5C06">
          <w:rPr>
            <w:rStyle w:val="Lienhypertexte"/>
            <w:rFonts w:cs="Times"/>
            <w:szCs w:val="24"/>
          </w:rPr>
          <w:t>Rép</w:t>
        </w:r>
        <w:proofErr w:type="spellEnd"/>
        <w:r w:rsidR="003A5C06" w:rsidRPr="003A5C06">
          <w:rPr>
            <w:rStyle w:val="Lienhypertexte"/>
            <w:rFonts w:cs="Times"/>
            <w:szCs w:val="24"/>
          </w:rPr>
          <w:t>. Grau : AN 27-4-2021 n° 35554</w:t>
        </w:r>
      </w:hyperlink>
    </w:p>
    <w:p w14:paraId="4AA0474C" w14:textId="77777777" w:rsidR="00484256" w:rsidRDefault="00484256" w:rsidP="00484256">
      <w:pPr>
        <w:spacing w:before="120" w:after="120" w:line="240" w:lineRule="auto"/>
        <w:rPr>
          <w:rFonts w:cs="Times"/>
          <w:color w:val="003300"/>
          <w:szCs w:val="24"/>
        </w:rPr>
      </w:pPr>
      <w:r>
        <w:rPr>
          <w:rFonts w:cs="Times"/>
          <w:color w:val="003300"/>
          <w:szCs w:val="24"/>
          <w:u w:val="single"/>
        </w:rPr>
        <w:t>Suspension de TVA</w:t>
      </w:r>
      <w:r w:rsidRPr="006B1429">
        <w:rPr>
          <w:rFonts w:cs="Times"/>
          <w:color w:val="003300"/>
          <w:szCs w:val="24"/>
          <w:u w:val="single"/>
        </w:rPr>
        <w:t xml:space="preserve"> </w:t>
      </w:r>
      <w:r w:rsidRPr="002F368F">
        <w:rPr>
          <w:rFonts w:cs="Times"/>
          <w:color w:val="003300"/>
          <w:szCs w:val="24"/>
        </w:rPr>
        <w:t xml:space="preserve">– </w:t>
      </w:r>
      <w:r>
        <w:rPr>
          <w:rFonts w:cs="Times"/>
          <w:color w:val="003300"/>
          <w:szCs w:val="24"/>
        </w:rPr>
        <w:t>Elle vaut pour la vente d’un ensemble de biens immobiliers et donc pas de régularisation de la TVA initialement déduite.</w:t>
      </w:r>
    </w:p>
    <w:p w14:paraId="01DC1078" w14:textId="77777777" w:rsidR="00484256" w:rsidRDefault="00484256" w:rsidP="00484256">
      <w:pPr>
        <w:spacing w:before="120" w:after="0" w:line="240" w:lineRule="auto"/>
        <w:ind w:left="567"/>
        <w:rPr>
          <w:rFonts w:cs="Times"/>
          <w:color w:val="003300"/>
          <w:szCs w:val="24"/>
        </w:rPr>
      </w:pPr>
      <w:hyperlink r:id="rId11" w:history="1">
        <w:r w:rsidRPr="00383D04">
          <w:rPr>
            <w:rStyle w:val="Lienhypertexte"/>
            <w:rFonts w:cs="Times"/>
            <w:szCs w:val="24"/>
          </w:rPr>
          <w:t>CAA Lyon 1-4-2021 n° 19LY00379</w:t>
        </w:r>
      </w:hyperlink>
    </w:p>
    <w:p w14:paraId="6CE58C92" w14:textId="7E89A1C8"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09667F6B" w14:textId="283826C0" w:rsidR="00142627" w:rsidRDefault="00484256" w:rsidP="00484256">
      <w:pPr>
        <w:keepNext/>
        <w:spacing w:before="120" w:after="0" w:line="240" w:lineRule="auto"/>
        <w:rPr>
          <w:rFonts w:cs="Times"/>
          <w:color w:val="003300"/>
          <w:szCs w:val="24"/>
          <w:u w:val="single"/>
        </w:rPr>
      </w:pPr>
      <w:r>
        <w:rPr>
          <w:color w:val="003300"/>
        </w:rPr>
        <w:t>Rien à signaler</w:t>
      </w:r>
    </w:p>
    <w:p w14:paraId="034CD263" w14:textId="5FD4FFCF"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352FC14F" w14:textId="77777777" w:rsidR="00426AED" w:rsidRDefault="00426AED" w:rsidP="00426AED">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6194A8C1" w14:textId="6CB71FE4" w:rsidR="002F368F" w:rsidRDefault="002F368F" w:rsidP="002F368F">
      <w:pPr>
        <w:spacing w:before="120" w:after="120" w:line="240" w:lineRule="auto"/>
        <w:rPr>
          <w:rFonts w:cs="Times"/>
          <w:color w:val="003300"/>
          <w:szCs w:val="24"/>
        </w:rPr>
      </w:pPr>
      <w:r>
        <w:rPr>
          <w:rFonts w:cs="Times"/>
          <w:color w:val="003300"/>
          <w:szCs w:val="24"/>
          <w:u w:val="single"/>
        </w:rPr>
        <w:t>Frais et avantages</w:t>
      </w:r>
      <w:r w:rsidRPr="006B1429">
        <w:rPr>
          <w:rFonts w:cs="Times"/>
          <w:color w:val="003300"/>
          <w:szCs w:val="24"/>
          <w:u w:val="single"/>
        </w:rPr>
        <w:t xml:space="preserve"> </w:t>
      </w:r>
      <w:r w:rsidRPr="002F368F">
        <w:rPr>
          <w:rFonts w:cs="Times"/>
          <w:color w:val="003300"/>
          <w:szCs w:val="24"/>
        </w:rPr>
        <w:t xml:space="preserve">– </w:t>
      </w:r>
      <w:r>
        <w:rPr>
          <w:rFonts w:cs="Times"/>
          <w:color w:val="003300"/>
          <w:szCs w:val="24"/>
        </w:rPr>
        <w:t>Les actualisations des différents barèmes.</w:t>
      </w:r>
    </w:p>
    <w:p w14:paraId="32FD9809" w14:textId="450F5351" w:rsidR="002F368F" w:rsidRPr="002F368F" w:rsidRDefault="006C31EE" w:rsidP="002F368F">
      <w:pPr>
        <w:pStyle w:val="NormalWeb"/>
        <w:shd w:val="clear" w:color="auto" w:fill="FFFFFF"/>
        <w:spacing w:before="120" w:after="120"/>
        <w:ind w:left="567"/>
        <w:jc w:val="both"/>
        <w:rPr>
          <w:rFonts w:ascii="Open Sans" w:hAnsi="Open Sans" w:cs="Open Sans"/>
          <w:color w:val="0000FF"/>
          <w:sz w:val="20"/>
          <w:szCs w:val="20"/>
        </w:rPr>
      </w:pPr>
      <w:hyperlink r:id="rId12" w:tooltip="04/05/2021 : RSA - Actualisation des limites d'exonération d'impôt sur le revenu des indemnités forfaitaires pour frais professionnels, de l'indemnité de soins aux tuberculeux, de la contribution patronale à l'acquisition de titres-restaurant et de la déductio" w:history="1">
        <w:r w:rsidR="002F368F" w:rsidRPr="002F368F">
          <w:rPr>
            <w:rStyle w:val="Lienhypertexte"/>
            <w:rFonts w:ascii="Open Sans" w:hAnsi="Open Sans" w:cs="Open Sans"/>
            <w:sz w:val="20"/>
            <w:szCs w:val="20"/>
          </w:rPr>
          <w:t>04/05/2021 : RSA - Actualisation des limites d'exonération d'impôt sur le revenu des indemnités forfaitaires pour frais professionnels, de l'indemnité de soins aux tuberculeux, de la contribution patronale à l'acquisition de titres-restaurant et de la déduction forfaitaire de 10% pour frais professionnels</w:t>
        </w:r>
      </w:hyperlink>
    </w:p>
    <w:p w14:paraId="31D5A8BD" w14:textId="0401D9A7" w:rsidR="002F368F" w:rsidRPr="002F368F" w:rsidRDefault="006C31EE" w:rsidP="002F368F">
      <w:pPr>
        <w:pStyle w:val="NormalWeb"/>
        <w:shd w:val="clear" w:color="auto" w:fill="FFFFFF"/>
        <w:spacing w:before="120" w:after="120"/>
        <w:ind w:left="567"/>
        <w:jc w:val="both"/>
        <w:rPr>
          <w:rFonts w:ascii="Open Sans" w:hAnsi="Open Sans" w:cs="Open Sans"/>
          <w:color w:val="0000FF"/>
          <w:sz w:val="20"/>
          <w:szCs w:val="20"/>
        </w:rPr>
      </w:pPr>
      <w:hyperlink r:id="rId13" w:tooltip="11/05/2021 : RSA - Actualisation des barèmes d’évaluation forfaitaire de l’avantage en nature " w:history="1">
        <w:r w:rsidR="002F368F" w:rsidRPr="002F368F">
          <w:rPr>
            <w:rStyle w:val="Lienhypertexte"/>
            <w:rFonts w:ascii="Open Sans" w:hAnsi="Open Sans" w:cs="Open Sans"/>
            <w:sz w:val="20"/>
            <w:szCs w:val="20"/>
          </w:rPr>
          <w:t>11/05/2021 : RSA - Actualisation des barèmes d’évaluation forfaitaire de l’avantage en nature « nourriture » et « logement » pour l'imposition des revenus de l'année 2021</w:t>
        </w:r>
      </w:hyperlink>
    </w:p>
    <w:p w14:paraId="6579C005" w14:textId="77777777" w:rsidR="002F368F" w:rsidRPr="002F368F" w:rsidRDefault="006C31EE" w:rsidP="002F368F">
      <w:pPr>
        <w:pStyle w:val="NormalWeb"/>
        <w:shd w:val="clear" w:color="auto" w:fill="FFFFFF"/>
        <w:spacing w:before="120" w:after="120"/>
        <w:ind w:left="567"/>
        <w:jc w:val="both"/>
        <w:rPr>
          <w:rFonts w:ascii="Open Sans" w:hAnsi="Open Sans" w:cs="Open Sans"/>
          <w:color w:val="0000FF"/>
          <w:sz w:val="20"/>
          <w:szCs w:val="20"/>
        </w:rPr>
      </w:pPr>
      <w:hyperlink r:id="rId14" w:tooltip="21/05/2021 : IR - Actualisation annuelle de plafonds et montants pour l'imposition des revenus de l'année 2020 : Avantages en nature - Prestations compensatoires - Déductions diverses" w:history="1">
        <w:r w:rsidR="002F368F" w:rsidRPr="002F368F">
          <w:rPr>
            <w:rStyle w:val="Lienhypertexte"/>
            <w:rFonts w:ascii="Open Sans" w:hAnsi="Open Sans" w:cs="Open Sans"/>
            <w:sz w:val="20"/>
            <w:szCs w:val="20"/>
          </w:rPr>
          <w:t>21/05/2021 : IR - Actualisation annuelle de plafonds et montants pour l'imposition des revenus de l'année 2020 : Avantages en nature - Prestations compensatoires - Déductions diverses</w:t>
        </w:r>
      </w:hyperlink>
    </w:p>
    <w:p w14:paraId="47FB3BF7" w14:textId="77777777" w:rsidR="002F368F" w:rsidRPr="002F368F" w:rsidRDefault="006C31EE" w:rsidP="002F368F">
      <w:pPr>
        <w:pStyle w:val="NormalWeb"/>
        <w:shd w:val="clear" w:color="auto" w:fill="FFFFFF"/>
        <w:spacing w:before="120" w:after="120"/>
        <w:ind w:left="567"/>
        <w:jc w:val="both"/>
        <w:rPr>
          <w:rFonts w:ascii="Open Sans" w:hAnsi="Open Sans" w:cs="Open Sans"/>
          <w:color w:val="0000FF"/>
          <w:sz w:val="20"/>
          <w:szCs w:val="20"/>
        </w:rPr>
      </w:pPr>
      <w:hyperlink r:id="rId15" w:tooltip="28/05/2021 : RSA - Relèvement de la limite d’exonération d’impôt sur le revenu de la prise en charge, par l'employeur, des frais de carburant ou des frais d'alimentation des véhicules électriques, hybrides rechargeables ou à hydrogène, ainsi que du " w:history="1">
        <w:r w:rsidR="002F368F" w:rsidRPr="002F368F">
          <w:rPr>
            <w:rStyle w:val="Lienhypertexte"/>
            <w:rFonts w:ascii="Open Sans" w:hAnsi="Open Sans" w:cs="Open Sans"/>
            <w:sz w:val="20"/>
            <w:szCs w:val="20"/>
          </w:rPr>
          <w:t>28/05/2021 : RSA - Relèvement de la limite d’exonération d’impôt sur le revenu de la prise en charge, par l'employeur, des frais de carburant ou des frais d'alimentation des véhicules électriques, hybrides rechargeables ou à hydrogène, ainsi que du « forfait mobilités durables » exposés par les salariés pour leur trajet domicile-travail (loi n° 2020-1721 du 29 décembre 2020 de finances pour 2021, art. 57)</w:t>
        </w:r>
      </w:hyperlink>
    </w:p>
    <w:p w14:paraId="124A0523" w14:textId="1D5549EC" w:rsidR="0006549E" w:rsidRDefault="0006549E" w:rsidP="002F416C">
      <w:pPr>
        <w:spacing w:before="120" w:after="0" w:line="240" w:lineRule="auto"/>
        <w:rPr>
          <w:rFonts w:cs="Times"/>
          <w:color w:val="003300"/>
          <w:szCs w:val="24"/>
          <w:u w:val="single"/>
        </w:rPr>
      </w:pPr>
    </w:p>
    <w:p w14:paraId="20C76B2E" w14:textId="124A42BD"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lastRenderedPageBreak/>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614D6138" w14:textId="77777777" w:rsidR="00484256" w:rsidRDefault="00484256" w:rsidP="00484256">
      <w:pPr>
        <w:keepNext/>
        <w:spacing w:before="120" w:after="0" w:line="240" w:lineRule="auto"/>
        <w:rPr>
          <w:rFonts w:cs="Times"/>
          <w:color w:val="003300"/>
          <w:szCs w:val="24"/>
          <w:u w:val="single"/>
        </w:rPr>
      </w:pPr>
      <w:r>
        <w:rPr>
          <w:color w:val="003300"/>
        </w:rPr>
        <w:t>Rien à signaler</w:t>
      </w:r>
    </w:p>
    <w:p w14:paraId="1E12E0B0" w14:textId="1342CEEC"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65F9CA04" w14:textId="289C8B28" w:rsidR="000D4FA8" w:rsidRPr="000D4FA8" w:rsidRDefault="000D4FA8" w:rsidP="00484256">
      <w:pPr>
        <w:keepNext/>
        <w:spacing w:before="120" w:after="0" w:line="240" w:lineRule="auto"/>
        <w:rPr>
          <w:rFonts w:cs="Times"/>
          <w:color w:val="003300"/>
          <w:szCs w:val="24"/>
        </w:rPr>
      </w:pPr>
      <w:r>
        <w:rPr>
          <w:rFonts w:cs="Times"/>
          <w:color w:val="003300"/>
          <w:szCs w:val="24"/>
          <w:u w:val="single"/>
        </w:rPr>
        <w:t>ANC –</w:t>
      </w:r>
      <w:r>
        <w:rPr>
          <w:rFonts w:cs="Times"/>
          <w:color w:val="003300"/>
          <w:szCs w:val="24"/>
        </w:rPr>
        <w:t xml:space="preserve"> Les coopératives agricoles.</w:t>
      </w:r>
    </w:p>
    <w:p w14:paraId="367C897E" w14:textId="30B3C2B0" w:rsidR="000D4FA8" w:rsidRPr="000D4FA8" w:rsidRDefault="006C31EE" w:rsidP="00484256">
      <w:pPr>
        <w:keepNext/>
        <w:spacing w:before="120" w:after="0" w:line="240" w:lineRule="auto"/>
        <w:ind w:left="567"/>
        <w:rPr>
          <w:rFonts w:cs="Times"/>
          <w:szCs w:val="24"/>
        </w:rPr>
      </w:pPr>
      <w:hyperlink r:id="rId16" w:history="1">
        <w:r w:rsidR="000D4FA8" w:rsidRPr="000D4FA8">
          <w:rPr>
            <w:rStyle w:val="Lienhypertexte"/>
            <w:rFonts w:cs="Times"/>
            <w:szCs w:val="24"/>
          </w:rPr>
          <w:t>Règlement n° 2021-01</w:t>
        </w:r>
      </w:hyperlink>
      <w:r w:rsidR="000D4FA8" w:rsidRPr="000D4FA8">
        <w:rPr>
          <w:rFonts w:cs="Times"/>
          <w:szCs w:val="24"/>
        </w:rPr>
        <w:t xml:space="preserve"> du 7 mai 2021 relatif aux comptes annuels des coopératives agricoles et de leurs unions  + (</w:t>
      </w:r>
      <w:hyperlink r:id="rId17" w:history="1">
        <w:r w:rsidR="000D4FA8" w:rsidRPr="000D4FA8">
          <w:rPr>
            <w:rStyle w:val="Lienhypertexte"/>
            <w:rFonts w:cs="Times"/>
            <w:szCs w:val="24"/>
          </w:rPr>
          <w:t>Version recueil</w:t>
        </w:r>
      </w:hyperlink>
      <w:r w:rsidR="000D4FA8" w:rsidRPr="000D4FA8">
        <w:rPr>
          <w:rFonts w:cs="Times"/>
          <w:szCs w:val="24"/>
        </w:rPr>
        <w:t>) - (En cours d'homologation)</w:t>
      </w:r>
    </w:p>
    <w:p w14:paraId="0499B512" w14:textId="4E2470A5" w:rsidR="00A1513A" w:rsidRDefault="00A1513A" w:rsidP="00A1513A">
      <w:pPr>
        <w:keepNext/>
        <w:spacing w:before="120" w:after="0" w:line="240" w:lineRule="auto"/>
        <w:rPr>
          <w:color w:val="003300"/>
        </w:rPr>
      </w:pPr>
      <w:r>
        <w:rPr>
          <w:color w:val="003300"/>
          <w:u w:val="single"/>
        </w:rPr>
        <w:t>Contrôle des comptes</w:t>
      </w:r>
      <w:r>
        <w:rPr>
          <w:color w:val="003300"/>
        </w:rPr>
        <w:t xml:space="preserve"> – Le contrôleur ne peut pas être salarié.</w:t>
      </w:r>
    </w:p>
    <w:p w14:paraId="4A0471E7" w14:textId="5DC23268" w:rsidR="00142627" w:rsidRDefault="006C31EE" w:rsidP="00A1513A">
      <w:pPr>
        <w:spacing w:before="120" w:after="0" w:line="240" w:lineRule="auto"/>
        <w:ind w:left="567"/>
        <w:rPr>
          <w:rFonts w:cs="Times"/>
          <w:color w:val="003300"/>
          <w:szCs w:val="24"/>
        </w:rPr>
      </w:pPr>
      <w:hyperlink r:id="rId18" w:history="1">
        <w:r w:rsidR="00A1513A" w:rsidRPr="00A1513A">
          <w:rPr>
            <w:rStyle w:val="Lienhypertexte"/>
            <w:rFonts w:cs="Times"/>
            <w:szCs w:val="24"/>
          </w:rPr>
          <w:t xml:space="preserve">CJUE 24-3-2021 </w:t>
        </w:r>
        <w:proofErr w:type="spellStart"/>
        <w:r w:rsidR="00A1513A" w:rsidRPr="00A1513A">
          <w:rPr>
            <w:rStyle w:val="Lienhypertexte"/>
            <w:rFonts w:cs="Times"/>
            <w:szCs w:val="24"/>
          </w:rPr>
          <w:t>aff.</w:t>
        </w:r>
        <w:proofErr w:type="spellEnd"/>
        <w:r w:rsidR="00A1513A" w:rsidRPr="00A1513A">
          <w:rPr>
            <w:rStyle w:val="Lienhypertexte"/>
            <w:rFonts w:cs="Times"/>
            <w:szCs w:val="24"/>
          </w:rPr>
          <w:t xml:space="preserve"> 950/19</w:t>
        </w:r>
      </w:hyperlink>
    </w:p>
    <w:p w14:paraId="2C70F88B" w14:textId="48A2974B" w:rsidR="00E670F1" w:rsidRDefault="00A1513A" w:rsidP="002F416C">
      <w:pPr>
        <w:spacing w:before="120" w:after="0" w:line="240" w:lineRule="auto"/>
        <w:rPr>
          <w:rFonts w:cs="Times"/>
          <w:color w:val="003300"/>
          <w:szCs w:val="24"/>
        </w:rPr>
      </w:pPr>
      <w:r>
        <w:rPr>
          <w:rFonts w:cs="Times"/>
          <w:color w:val="003300"/>
          <w:szCs w:val="24"/>
        </w:rPr>
        <w:t>Comptes consolidés – S’ils sont faux, ce n’est pas un délit</w:t>
      </w:r>
      <w:r w:rsidR="00383D04">
        <w:rPr>
          <w:rFonts w:cs="Times"/>
          <w:color w:val="003300"/>
          <w:szCs w:val="24"/>
        </w:rPr>
        <w:t>.</w:t>
      </w:r>
    </w:p>
    <w:p w14:paraId="20930305" w14:textId="79BE34DF" w:rsidR="00383D04" w:rsidRDefault="006C31EE" w:rsidP="00383D04">
      <w:pPr>
        <w:spacing w:before="120" w:after="0" w:line="240" w:lineRule="auto"/>
        <w:ind w:left="567"/>
        <w:rPr>
          <w:rFonts w:cs="Times"/>
          <w:color w:val="003300"/>
          <w:szCs w:val="24"/>
        </w:rPr>
      </w:pPr>
      <w:hyperlink r:id="rId19" w:history="1">
        <w:r w:rsidR="00383D04" w:rsidRPr="00383D04">
          <w:rPr>
            <w:rStyle w:val="Lienhypertexte"/>
            <w:rFonts w:cs="Times"/>
            <w:szCs w:val="24"/>
          </w:rPr>
          <w:t xml:space="preserve">Cass. </w:t>
        </w:r>
        <w:proofErr w:type="spellStart"/>
        <w:r w:rsidR="00383D04" w:rsidRPr="00383D04">
          <w:rPr>
            <w:rStyle w:val="Lienhypertexte"/>
            <w:rFonts w:cs="Times"/>
            <w:szCs w:val="24"/>
          </w:rPr>
          <w:t>crim</w:t>
        </w:r>
        <w:proofErr w:type="spellEnd"/>
        <w:r w:rsidR="00383D04" w:rsidRPr="00383D04">
          <w:rPr>
            <w:rStyle w:val="Lienhypertexte"/>
            <w:rFonts w:cs="Times"/>
            <w:szCs w:val="24"/>
          </w:rPr>
          <w:t>. 17-2-2021 n° 20-82.068</w:t>
        </w:r>
      </w:hyperlink>
    </w:p>
    <w:p w14:paraId="65F4ED3E" w14:textId="77777777" w:rsidR="00383D04" w:rsidRDefault="00383D04" w:rsidP="002F416C">
      <w:pPr>
        <w:spacing w:before="120" w:after="0" w:line="240" w:lineRule="auto"/>
        <w:rPr>
          <w:rFonts w:cs="Times"/>
          <w:color w:val="003300"/>
          <w:szCs w:val="24"/>
        </w:rPr>
      </w:pPr>
    </w:p>
    <w:p w14:paraId="077EA3B3" w14:textId="4D07C569"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731C8B40" w14:textId="5645BF7E" w:rsidR="00FD2F4C" w:rsidRPr="00484256" w:rsidRDefault="00484256" w:rsidP="00484256">
      <w:pPr>
        <w:keepNext/>
        <w:spacing w:before="120" w:after="0" w:line="240" w:lineRule="auto"/>
        <w:rPr>
          <w:rFonts w:cs="Times"/>
          <w:color w:val="003300"/>
          <w:szCs w:val="24"/>
          <w:u w:val="single"/>
        </w:rPr>
      </w:pPr>
      <w:r>
        <w:rPr>
          <w:color w:val="003300"/>
        </w:rPr>
        <w:t>Rien à signaler</w:t>
      </w:r>
    </w:p>
    <w:p w14:paraId="17D13BC7" w14:textId="1650310B" w:rsidR="00E935A2" w:rsidRDefault="00AB002C" w:rsidP="006320BB">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1817411E" w14:textId="57D9B6C6" w:rsidR="00142627" w:rsidRDefault="00484256" w:rsidP="00831AB8">
      <w:pPr>
        <w:keepNext/>
        <w:spacing w:before="120" w:after="0" w:line="240" w:lineRule="auto"/>
        <w:rPr>
          <w:rFonts w:cs="Times"/>
          <w:color w:val="003300"/>
          <w:szCs w:val="24"/>
          <w:u w:val="single"/>
        </w:rPr>
      </w:pPr>
      <w:r>
        <w:rPr>
          <w:color w:val="003300"/>
        </w:rPr>
        <w:t>Rien à signaler</w:t>
      </w:r>
    </w:p>
    <w:p w14:paraId="7D92344F" w14:textId="6439CA6A" w:rsidR="00331173" w:rsidRDefault="00331173" w:rsidP="00831AB8">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7965E87B" w14:textId="3351089B" w:rsidR="00862E2B" w:rsidRDefault="00A1513A" w:rsidP="003C5765">
      <w:pPr>
        <w:keepNext/>
        <w:spacing w:before="120" w:after="0" w:line="240" w:lineRule="auto"/>
        <w:rPr>
          <w:color w:val="003300"/>
        </w:rPr>
      </w:pPr>
      <w:r w:rsidRPr="00A1513A">
        <w:rPr>
          <w:color w:val="003300"/>
          <w:u w:val="single"/>
        </w:rPr>
        <w:t>TEG</w:t>
      </w:r>
      <w:r>
        <w:rPr>
          <w:color w:val="003300"/>
        </w:rPr>
        <w:t xml:space="preserve"> – Vive le formalisme : si le TEG est absent ou erroné dans le contrat, le banquier est perdant.</w:t>
      </w:r>
    </w:p>
    <w:p w14:paraId="46C3EBD0" w14:textId="037927F9" w:rsidR="00A1513A" w:rsidRPr="00A1513A" w:rsidRDefault="006C31EE" w:rsidP="00A1513A">
      <w:pPr>
        <w:keepNext/>
        <w:spacing w:before="120" w:after="0" w:line="240" w:lineRule="auto"/>
        <w:ind w:left="567"/>
        <w:rPr>
          <w:rFonts w:cs="Times"/>
          <w:szCs w:val="24"/>
        </w:rPr>
      </w:pPr>
      <w:hyperlink r:id="rId20" w:history="1">
        <w:r w:rsidR="00A1513A" w:rsidRPr="00A1513A">
          <w:rPr>
            <w:rStyle w:val="Lienhypertexte"/>
            <w:rFonts w:cs="Times"/>
            <w:szCs w:val="24"/>
          </w:rPr>
          <w:t>Cass. com. 24-3-2021 n° 19-14.307</w:t>
        </w:r>
      </w:hyperlink>
      <w:r w:rsidR="00A1513A" w:rsidRPr="00A1513A">
        <w:rPr>
          <w:rFonts w:cs="Times"/>
          <w:szCs w:val="24"/>
        </w:rPr>
        <w:t xml:space="preserve"> FS-P, Sté Dexia crédit local c/ Sté de construction de la ville de Lyon</w:t>
      </w:r>
    </w:p>
    <w:p w14:paraId="24D1A5D0" w14:textId="4F29D1FF" w:rsidR="005A17CC" w:rsidRPr="00142627" w:rsidRDefault="001F3614" w:rsidP="00142627">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FB9F9E0" w14:textId="77777777" w:rsidR="00484256" w:rsidRDefault="00484256" w:rsidP="00484256">
      <w:pPr>
        <w:keepNext/>
        <w:spacing w:before="120" w:after="0" w:line="240" w:lineRule="auto"/>
        <w:rPr>
          <w:rFonts w:cs="Times"/>
          <w:color w:val="003300"/>
          <w:szCs w:val="24"/>
          <w:u w:val="single"/>
        </w:rPr>
      </w:pPr>
      <w:r>
        <w:rPr>
          <w:color w:val="003300"/>
        </w:rPr>
        <w:t>Rien à signaler</w:t>
      </w:r>
    </w:p>
    <w:p w14:paraId="49FF24B9" w14:textId="77777777" w:rsidR="005A17CC" w:rsidRDefault="005A17CC" w:rsidP="005A17CC">
      <w:pPr>
        <w:keepNext/>
        <w:spacing w:before="120" w:after="0" w:line="240" w:lineRule="auto"/>
        <w:rPr>
          <w:rFonts w:cs="Times"/>
          <w:color w:val="003300"/>
          <w:szCs w:val="24"/>
        </w:rPr>
      </w:pPr>
    </w:p>
    <w:p w14:paraId="27A2CE17" w14:textId="47DAD480" w:rsidR="005A17CC" w:rsidRDefault="006C31EE" w:rsidP="005A17CC">
      <w:pPr>
        <w:keepNext/>
        <w:spacing w:before="120" w:after="0" w:line="240" w:lineRule="auto"/>
        <w:rPr>
          <w:rFonts w:cs="Times"/>
          <w:color w:val="003300"/>
          <w:szCs w:val="24"/>
        </w:rPr>
      </w:pPr>
      <w:hyperlink r:id="rId21" w:history="1">
        <w:r w:rsidR="005A17CC">
          <w:rPr>
            <w:rStyle w:val="Lienhypertexte"/>
            <w:rFonts w:ascii="Arial" w:hAnsi="Arial" w:cs="Arial"/>
            <w:b/>
            <w:bCs/>
            <w:color w:val="FFFFFF"/>
            <w:sz w:val="25"/>
            <w:szCs w:val="25"/>
          </w:rPr>
          <w:t>Les chiffres du recensement de la commande publique 2019</w:t>
        </w:r>
      </w:hyperlink>
    </w:p>
    <w:p w14:paraId="6E1B19DF" w14:textId="77777777" w:rsidR="00142627" w:rsidRDefault="00142627">
      <w:pPr>
        <w:spacing w:before="0" w:after="0" w:line="240" w:lineRule="auto"/>
        <w:jc w:val="left"/>
      </w:pPr>
      <w:r>
        <w:br w:type="page"/>
      </w:r>
    </w:p>
    <w:p w14:paraId="2649CADA" w14:textId="20BC7401"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50BC02F5"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2" w:tooltip="28/05/2021 : RSA - Relèvement de la limite d’exonération d’impôt sur le revenu de la prise en charge, par l'employeur, des frais de carburant ou des frais d'alimentation des véhicules électriques, hybrides rechargeables ou à hydrogène, ainsi que du " w:history="1">
        <w:r w:rsidR="002F368F" w:rsidRPr="002F368F">
          <w:rPr>
            <w:rStyle w:val="Lienhypertexte"/>
            <w:rFonts w:ascii="Open Sans" w:hAnsi="Open Sans" w:cs="Open Sans"/>
            <w:sz w:val="20"/>
            <w:szCs w:val="20"/>
            <w:highlight w:val="green"/>
          </w:rPr>
          <w:t>28/05/2021 : RSA - Relèvement de la limite d’exonération d’impôt sur le revenu de la prise en charge, par l'employeur, des frais de carburant ou des frais d'alimentation des véhicules électriques, hybrides rechargeables ou à hydrogène, ainsi que du « forfait mobilités durables » exposés par les salariés pour leur trajet domicile-travail (loi n° 2020-1721 du 29 décembre 2020 de finances pour 2021, art. 57)</w:t>
        </w:r>
      </w:hyperlink>
    </w:p>
    <w:p w14:paraId="57CA5D0D"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3" w:tooltip="28/05/2021 : RFPI - Prorogation de l'exonération en faveur de la cession d'un droit de surélévation prévue au 9° du II de l'article 150 U du CGI (loi n° 2020-1721 du 29 décembre 2020 de finances pour 2021, art. 37) " w:history="1">
        <w:r w:rsidR="002F368F" w:rsidRPr="002F368F">
          <w:rPr>
            <w:rStyle w:val="Lienhypertexte"/>
            <w:rFonts w:ascii="Open Sans" w:hAnsi="Open Sans" w:cs="Open Sans"/>
            <w:sz w:val="20"/>
            <w:szCs w:val="20"/>
          </w:rPr>
          <w:t>28/05/2021 : RFPI - Prorogation de l'exonération en faveur de la cession d'un droit de surélévation prévue au 9° du II de l'article 150 U du CGI (loi n° 2020-1721 du 29 décembre 2020 de finances pour 2021, art. 37)</w:t>
        </w:r>
      </w:hyperlink>
    </w:p>
    <w:p w14:paraId="096092B8"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4" w:tooltip="26/05/2021 : BIC - IF - Prorogation des exonérations fiscales applicables dans les bassins d'emploi à redynamiser (BER) (loi n° 2020-1721 du 29 décembre 2020 de finances pour 2021, art. 223)" w:history="1">
        <w:r w:rsidR="002F368F" w:rsidRPr="002F368F">
          <w:rPr>
            <w:rStyle w:val="Lienhypertexte"/>
            <w:rFonts w:ascii="Open Sans" w:hAnsi="Open Sans" w:cs="Open Sans"/>
            <w:sz w:val="20"/>
            <w:szCs w:val="20"/>
          </w:rPr>
          <w:t>26/05/2021 : BIC - IF - Prorogation des exonérations fiscales applicables dans les bassins d'emploi à redynamiser (BER) (loi n° 2020-1721 du 29 décembre 2020 de finances pour 2021, art. 223)</w:t>
        </w:r>
      </w:hyperlink>
    </w:p>
    <w:p w14:paraId="58E94BE6"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5" w:tooltip="26/05/2021 : TCA - TCAS - Retrait de commentaires relatifs aux taxes à " w:history="1">
        <w:r w:rsidR="002F368F" w:rsidRPr="002F368F">
          <w:rPr>
            <w:rStyle w:val="Lienhypertexte"/>
            <w:rFonts w:ascii="Open Sans" w:hAnsi="Open Sans" w:cs="Open Sans"/>
            <w:sz w:val="20"/>
            <w:szCs w:val="20"/>
          </w:rPr>
          <w:t>26/05/2021 : TCA - TCAS - Retrait de commentaires relatifs aux taxes à « faible rendement » supprimées par les lois de finances pour 2019 et pour 2021 (loi n° 2020-1721 du 29 décembre 2020 de finances pour 2021, art. 64 ; loi n° 2018-1317 du 28 décembre 2018 de finances pour 2019, art. 26)</w:t>
        </w:r>
      </w:hyperlink>
    </w:p>
    <w:p w14:paraId="09119318"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6" w:tooltip="26/05/2021 : IR - BIC - CF - Obligations des contribuables tendant à la prévention de la fraude - Déclaration des comptes ouverts, détenus, utilisés ou clos hors de France (CGI, art. 1649 A) et des contrats de capitalisation ou placements de même nature, notam" w:history="1">
        <w:r w:rsidR="002F368F" w:rsidRPr="002F368F">
          <w:rPr>
            <w:rStyle w:val="Lienhypertexte"/>
            <w:rFonts w:ascii="Open Sans" w:hAnsi="Open Sans" w:cs="Open Sans"/>
            <w:sz w:val="20"/>
            <w:szCs w:val="20"/>
          </w:rPr>
          <w:t>26/05/2021 : IR - BIC - CF - Obligations des contribuables tendant à la prévention de la fraude - Déclaration des comptes ouverts, détenus, utilisés ou clos hors de France (CGI, art. 1649 A) et des contrats de capitalisation ou placements de même nature, notamment les contrats d'assurance vie, souscrits hors de France (CGI, art. 1649 AA)</w:t>
        </w:r>
      </w:hyperlink>
    </w:p>
    <w:p w14:paraId="0244BFB6"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7" w:tooltip="21/05/2021 : IR - Actualisation annuelle de plafonds et montants pour l'imposition des revenus de l'année 2020 : Avantages en nature - Prestations compensatoires - Déductions diverses" w:history="1">
        <w:r w:rsidR="002F368F" w:rsidRPr="002F368F">
          <w:rPr>
            <w:rStyle w:val="Lienhypertexte"/>
            <w:rFonts w:ascii="Open Sans" w:hAnsi="Open Sans" w:cs="Open Sans"/>
            <w:sz w:val="20"/>
            <w:szCs w:val="20"/>
            <w:highlight w:val="green"/>
          </w:rPr>
          <w:t>21/05/2021 : IR - Actualisation annuelle de plafonds et montants pour l'imposition des revenus de l'année 2020 : Avantages en nature - Prestations compensatoires - Déductions diverses</w:t>
        </w:r>
      </w:hyperlink>
    </w:p>
    <w:p w14:paraId="227B613E"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8" w:tooltip="19/05/2021 : TVA - Taux applicables aux prestations relevant du service public de gestion des déchets des ménages (loi n° 2018-1317 du 28 décembre 2018 de finances pour 2019, art. 190)" w:history="1">
        <w:r w:rsidR="002F368F" w:rsidRPr="002F368F">
          <w:rPr>
            <w:rStyle w:val="Lienhypertexte"/>
            <w:rFonts w:ascii="Open Sans" w:hAnsi="Open Sans" w:cs="Open Sans"/>
            <w:sz w:val="20"/>
            <w:szCs w:val="20"/>
            <w:highlight w:val="green"/>
          </w:rPr>
          <w:t>19/05/2021 : TVA - Taux applicables aux prestations relevant du service public de gestion des déchets des ménages (loi n° 2018-1317 du 28 décembre 2018 de finances pour 2019, art. 190)</w:t>
        </w:r>
      </w:hyperlink>
    </w:p>
    <w:p w14:paraId="724E3CDF"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29" w:tooltip="19/05/2021 : TVA - Modifications apportées aux précisions doctrinales relatives à l'obligation d'utilisation de logiciels ou systèmes de caisse sécurisés prévue au 3° bis du I de l'article 286 du CGI" w:history="1">
        <w:r w:rsidR="002F368F" w:rsidRPr="002F368F">
          <w:rPr>
            <w:rStyle w:val="Lienhypertexte"/>
            <w:rFonts w:ascii="Open Sans" w:hAnsi="Open Sans" w:cs="Open Sans"/>
            <w:sz w:val="20"/>
            <w:szCs w:val="20"/>
          </w:rPr>
          <w:t>19/05/2021 : TVA - Modifications apportées aux précisions doctrinales relatives à l'obligation d'utilisation de logiciels ou systèmes de caisse sécurisés prévue au 3° bis du I de l'article 286 du CGI</w:t>
        </w:r>
      </w:hyperlink>
    </w:p>
    <w:p w14:paraId="3E823471"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0" w:tooltip="19/05/2021 : CF - Prescription du droit de reprise de l'administration et garanties du contribuable - Délais de reprise en cas d'omission ou d'insuffisance d'imposition révélée par une procédure judiciaire, par une procédure devant les juridictions administrat" w:history="1">
        <w:r w:rsidR="002F368F" w:rsidRPr="002F368F">
          <w:rPr>
            <w:rStyle w:val="Lienhypertexte"/>
            <w:rFonts w:ascii="Open Sans" w:hAnsi="Open Sans" w:cs="Open Sans"/>
            <w:sz w:val="20"/>
            <w:szCs w:val="20"/>
          </w:rPr>
          <w:t>19/05/2021 : CF - Prescription du droit de reprise de l'administration et garanties du contribuable - Délais de reprise en cas d'omission ou d'insuffisance d'imposition révélée par une procédure judiciaire, par une procédure devant les juridictions administratives ou par une réclamation contentieuse (loi n° 2015-1786 du 29 décembre 2015 de finances rectificative pour 2015, art. 92)</w:t>
        </w:r>
      </w:hyperlink>
    </w:p>
    <w:p w14:paraId="2422AF97"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1" w:tooltip="17/05/2021 : IR - Crédit d’impôt pour le premier abonnement à un journal, à une publication périodique ou à un service de presse en ligne d’information politique et générale (loi n° 2020-935 du 30 juillet 2020 de finances rectificative pour 2020, art. 2) - Pub" w:history="1">
        <w:r w:rsidR="002F368F" w:rsidRPr="002F368F">
          <w:rPr>
            <w:rStyle w:val="Lienhypertexte"/>
            <w:rFonts w:ascii="Open Sans" w:hAnsi="Open Sans" w:cs="Open Sans"/>
            <w:sz w:val="20"/>
            <w:szCs w:val="20"/>
          </w:rPr>
          <w:t>17/05/2021 : IR - Crédit d’impôt pour le premier abonnement à un journal, à une publication périodique ou à un service de presse en ligne d’information politique et générale (loi n° 2020-935 du 30 juillet 2020 de finances rectificative pour 2020, art. 2) - Publication urgente</w:t>
        </w:r>
      </w:hyperlink>
    </w:p>
    <w:p w14:paraId="61B6F3D8"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2" w:tooltip="12/05/2021 : IR - BA - BNC - BIC - DJC - Suppression progressive de la majoration du bénéfice pour non-adhésion à un organisme de gestion agréé ou assimilés (loi n° 2020-1721 du 29 décembre 2020 de finances pour 2021, art. 34 ; CGI, art. 158)" w:history="1">
        <w:r w:rsidR="002F368F" w:rsidRPr="002F368F">
          <w:rPr>
            <w:rStyle w:val="Lienhypertexte"/>
            <w:rFonts w:ascii="Open Sans" w:hAnsi="Open Sans" w:cs="Open Sans"/>
            <w:sz w:val="20"/>
            <w:szCs w:val="20"/>
          </w:rPr>
          <w:t>12/05/2021 : IR - BA - BNC - BIC - DJC - Suppression progressive de la majoration du bénéfice pour non-adhésion à un organisme de gestion agréé ou assimilés (loi n° 2020-1721 du 29 décembre 2020 de finances pour 2021, art. 34 ; CGI, art. 158)</w:t>
        </w:r>
      </w:hyperlink>
    </w:p>
    <w:p w14:paraId="42B583F4"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3" w:tooltip="12/05/2021 : IF - Instauration d'exonérations temporaires de cotisation foncière des entreprises (CFE) et de taxe foncière sur les propriétés bâties (TFPB) en faveur des activités commerciales et artisanales exercées dans les zones de revitalisation des centre" w:history="1">
        <w:r w:rsidR="002F368F" w:rsidRPr="002F368F">
          <w:rPr>
            <w:rStyle w:val="Lienhypertexte"/>
            <w:rFonts w:ascii="Open Sans" w:hAnsi="Open Sans" w:cs="Open Sans"/>
            <w:sz w:val="20"/>
            <w:szCs w:val="20"/>
          </w:rPr>
          <w:t>12/05/2021 : IF - Instauration d'exonérations temporaires de cotisation foncière des entreprises (CFE) et de taxe foncière sur les propriétés bâties (TFPB) en faveur des activités commerciales et artisanales exercées dans les zones de revitalisation des centres-villes (ZRCV) (loi n° 2019-1479 du 28 décembre 2019 de finances pour 2020, art. 111)</w:t>
        </w:r>
      </w:hyperlink>
    </w:p>
    <w:p w14:paraId="4894035A"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4" w:tooltip="12/05/2021 : CAD - Mise à jour des règles de confection des documents d'arpentage" w:history="1">
        <w:r w:rsidR="002F368F" w:rsidRPr="002F368F">
          <w:rPr>
            <w:rStyle w:val="Lienhypertexte"/>
            <w:rFonts w:ascii="Open Sans" w:hAnsi="Open Sans" w:cs="Open Sans"/>
            <w:sz w:val="20"/>
            <w:szCs w:val="20"/>
          </w:rPr>
          <w:t>12/05/2021 : CAD - Mise à jour des règles de confection des documents d'arpentage</w:t>
        </w:r>
      </w:hyperlink>
    </w:p>
    <w:p w14:paraId="71517A1F"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5" w:tooltip="11/05/2021 : RSA - Actualisation des barèmes d’évaluation forfaitaire de l’avantage en nature " w:history="1">
        <w:r w:rsidR="002F368F" w:rsidRPr="002F368F">
          <w:rPr>
            <w:rStyle w:val="Lienhypertexte"/>
            <w:rFonts w:ascii="Open Sans" w:hAnsi="Open Sans" w:cs="Open Sans"/>
            <w:sz w:val="20"/>
            <w:szCs w:val="20"/>
            <w:highlight w:val="green"/>
          </w:rPr>
          <w:t>11/05/2021 : RSA - Actualisation des barèmes d’évaluation forfaitaire de l’avantage en nature « nourriture » et « logement » pour l'imposition des revenus de l'année 2021</w:t>
        </w:r>
      </w:hyperlink>
    </w:p>
    <w:p w14:paraId="5DC6DCB7"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6" w:tooltip="06/05/2021 : RSA - Agents de l'Etat et personnes relevant d'organismes appelés à intervenir dans les territoires australes (TAAF) - Rectificatif" w:history="1">
        <w:r w:rsidR="002F368F" w:rsidRPr="002F368F">
          <w:rPr>
            <w:rStyle w:val="Lienhypertexte"/>
            <w:rFonts w:ascii="Open Sans" w:hAnsi="Open Sans" w:cs="Open Sans"/>
            <w:sz w:val="20"/>
            <w:szCs w:val="20"/>
          </w:rPr>
          <w:t>06/05/2021 : RSA - Agents de l'Etat et personnes relevant d'organismes appelés à intervenir dans les territoires australes (TAAF) - Rectificatif</w:t>
        </w:r>
      </w:hyperlink>
    </w:p>
    <w:p w14:paraId="310E3039" w14:textId="77777777" w:rsidR="002F368F" w:rsidRPr="002F368F" w:rsidRDefault="006C31EE" w:rsidP="002F368F">
      <w:pPr>
        <w:pStyle w:val="NormalWeb"/>
        <w:shd w:val="clear" w:color="auto" w:fill="FFFFFF"/>
        <w:spacing w:before="0" w:after="150"/>
        <w:jc w:val="both"/>
        <w:rPr>
          <w:rFonts w:ascii="Open Sans" w:hAnsi="Open Sans" w:cs="Open Sans"/>
          <w:color w:val="333333"/>
          <w:sz w:val="20"/>
          <w:szCs w:val="20"/>
        </w:rPr>
      </w:pPr>
      <w:hyperlink r:id="rId37" w:tooltip="04/05/2021 : RSA - Actualisation des limites d'exonération d'impôt sur le revenu des indemnités forfaitaires pour frais professionnels, de l'indemnité de soins aux tuberculeux, de la contribution patronale à l'acquisition de titres-restaurant et de la déductio" w:history="1">
        <w:r w:rsidR="002F368F" w:rsidRPr="002F368F">
          <w:rPr>
            <w:rStyle w:val="Lienhypertexte"/>
            <w:rFonts w:ascii="Open Sans" w:hAnsi="Open Sans" w:cs="Open Sans"/>
            <w:sz w:val="20"/>
            <w:szCs w:val="20"/>
            <w:highlight w:val="green"/>
          </w:rPr>
          <w:t>04/05/2021 : RSA - Actualisation des limites d'exonération d'impôt sur le revenu des indemnités forfaitaires pour frais professionnels, de l'indemnité de soins aux tuberculeux, de la contribution patronale à l'acquisition de titres-restaurant et de la déduction forfaitaire de 10% pour frais professionnels</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38"/>
      <w:headerReference w:type="first" r:id="rId39"/>
      <w:footerReference w:type="first" r:id="rId40"/>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B9010" w14:textId="77777777" w:rsidR="006C31EE" w:rsidRDefault="006C31EE">
      <w:r>
        <w:separator/>
      </w:r>
    </w:p>
  </w:endnote>
  <w:endnote w:type="continuationSeparator" w:id="0">
    <w:p w14:paraId="38440BCA" w14:textId="77777777" w:rsidR="006C31EE" w:rsidRDefault="006C3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DCFAC7E4-DD96-4802-B182-A5189DDF9CC9}"/>
    <w:embedBold r:id="rId2" w:fontKey="{8D16005B-59C7-4320-8972-2AC3E7ACAD0E}"/>
    <w:embedBoldItalic r:id="rId3" w:fontKey="{A28A9F94-F26C-4EBD-B0A0-8FA79E4110D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B7340332-2BAD-4E77-95E3-9525ADE72A8B}"/>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75734CAF-2F9C-4A81-85EC-6B93ADA821E8}"/>
  </w:font>
  <w:font w:name="Open Sans">
    <w:panose1 w:val="020B0606030504020204"/>
    <w:charset w:val="00"/>
    <w:family w:val="swiss"/>
    <w:pitch w:val="variable"/>
    <w:sig w:usb0="E00002EF" w:usb1="4000205B" w:usb2="00000028" w:usb3="00000000" w:csb0="0000019F" w:csb1="00000000"/>
    <w:embedRegular r:id="rId6" w:fontKey="{26372A6E-ECDA-48E6-816A-A277736DB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D2A8" w14:textId="77777777" w:rsidR="006C31EE" w:rsidRDefault="006C31EE">
      <w:r>
        <w:separator/>
      </w:r>
    </w:p>
  </w:footnote>
  <w:footnote w:type="continuationSeparator" w:id="0">
    <w:p w14:paraId="3DBB4783" w14:textId="77777777" w:rsidR="006C31EE" w:rsidRDefault="006C3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656EF8C4" w14:textId="585554F3" w:rsidR="00E72D0D" w:rsidRPr="00E35CBE" w:rsidRDefault="00360BC3" w:rsidP="00E35CBE">
          <w:pPr>
            <w:pStyle w:val="En-tte"/>
            <w:tabs>
              <w:tab w:val="clear" w:pos="4536"/>
            </w:tabs>
            <w:spacing w:before="0" w:after="0" w:line="240" w:lineRule="auto"/>
            <w:rPr>
              <w:sz w:val="20"/>
            </w:rPr>
          </w:pPr>
          <w:fldSimple w:instr=" FILENAME   \* MERGEFORMAT ">
            <w:r w:rsidR="00B50478" w:rsidRPr="00B50478">
              <w:rPr>
                <w:noProof/>
                <w:sz w:val="20"/>
              </w:rPr>
              <w:t>Comptes-La revue -202</w:t>
            </w:r>
            <w:r w:rsidR="00A57E3D">
              <w:rPr>
                <w:noProof/>
                <w:sz w:val="20"/>
              </w:rPr>
              <w:t>1-0</w:t>
            </w:r>
            <w:r w:rsidR="00142627">
              <w:rPr>
                <w:noProof/>
                <w:sz w:val="20"/>
              </w:rPr>
              <w:t>5</w:t>
            </w:r>
          </w:fldSimple>
        </w:p>
        <w:p w14:paraId="6D4A75FB" w14:textId="24C8976A"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142627">
            <w:rPr>
              <w:sz w:val="20"/>
            </w:rPr>
            <w:t>1</w:t>
          </w:r>
          <w:r w:rsidR="00142627" w:rsidRPr="00142627">
            <w:rPr>
              <w:sz w:val="20"/>
              <w:vertAlign w:val="superscript"/>
            </w:rPr>
            <w:t>er</w:t>
          </w:r>
          <w:r w:rsidR="00142627">
            <w:rPr>
              <w:sz w:val="20"/>
            </w:rPr>
            <w:t xml:space="preserve"> juin</w:t>
          </w:r>
          <w:r w:rsidR="00101E9F">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6" type="#_x0000_t75" style="width:3in;height:3in" o:bullet="t"/>
    </w:pict>
  </w:numPicBullet>
  <w:numPicBullet w:numPicBulletId="1">
    <w:pict>
      <v:shape id="_x0000_i1707" type="#_x0000_t75" style="width:3in;height:3in" o:bullet="t"/>
    </w:pict>
  </w:numPicBullet>
  <w:numPicBullet w:numPicBulletId="2">
    <w:pict>
      <v:shape id="_x0000_i1708" type="#_x0000_t75" style="width:3in;height:3in" o:bullet="t"/>
    </w:pict>
  </w:numPicBullet>
  <w:numPicBullet w:numPicBulletId="3">
    <w:pict>
      <v:shape id="_x0000_i1709" type="#_x0000_t75" style="width:3in;height:3in" o:bullet="t"/>
    </w:pict>
  </w:numPicBullet>
  <w:numPicBullet w:numPicBulletId="4">
    <w:pict>
      <v:shape id="_x0000_i1710" type="#_x0000_t75" style="width:3in;height:3in" o:bullet="t"/>
    </w:pict>
  </w:numPicBullet>
  <w:numPicBullet w:numPicBulletId="5">
    <w:pict>
      <v:shape id="_x0000_i1711" type="#_x0000_t75" style="width:3in;height:3in" o:bullet="t"/>
    </w:pict>
  </w:numPicBullet>
  <w:numPicBullet w:numPicBulletId="6">
    <w:pict>
      <v:shape id="_x0000_i1712" type="#_x0000_t75" style="width:3in;height:3in" o:bullet="t"/>
    </w:pict>
  </w:numPicBullet>
  <w:numPicBullet w:numPicBulletId="7">
    <w:pict>
      <v:shape id="_x0000_i1713" type="#_x0000_t75" style="width:3in;height:3in" o:bullet="t"/>
    </w:pict>
  </w:numPicBullet>
  <w:numPicBullet w:numPicBulletId="8">
    <w:pict>
      <v:shape id="_x0000_i1714" type="#_x0000_t75" style="width:3in;height:3in" o:bullet="t"/>
    </w:pict>
  </w:numPicBullet>
  <w:numPicBullet w:numPicBulletId="9">
    <w:pict>
      <v:shape id="_x0000_i1715" type="#_x0000_t75" style="width:3in;height:3in" o:bullet="t"/>
    </w:pict>
  </w:numPicBullet>
  <w:numPicBullet w:numPicBulletId="10">
    <w:pict>
      <v:shape id="_x0000_i1716" type="#_x0000_t75" style="width:3in;height:3in" o:bullet="t"/>
    </w:pict>
  </w:numPicBullet>
  <w:numPicBullet w:numPicBulletId="11">
    <w:pict>
      <v:shape id="_x0000_i1717" type="#_x0000_t75" style="width:3in;height:3in" o:bullet="t"/>
    </w:pict>
  </w:numPicBullet>
  <w:numPicBullet w:numPicBulletId="12">
    <w:pict>
      <v:shape id="_x0000_i1718" type="#_x0000_t75" style="width:3in;height:3in" o:bullet="t"/>
    </w:pict>
  </w:numPicBullet>
  <w:numPicBullet w:numPicBulletId="13">
    <w:pict>
      <v:shape id="_x0000_i1719" type="#_x0000_t75" style="width:3in;height:3in" o:bullet="t"/>
    </w:pict>
  </w:numPicBullet>
  <w:numPicBullet w:numPicBulletId="14">
    <w:pict>
      <v:shape id="_x0000_i1720" type="#_x0000_t75" style="width:3in;height:3in" o:bullet="t"/>
    </w:pict>
  </w:numPicBullet>
  <w:numPicBullet w:numPicBulletId="15">
    <w:pict>
      <v:shape id="_x0000_i1721" type="#_x0000_t75" style="width:3in;height:3in" o:bullet="t"/>
    </w:pict>
  </w:numPicBullet>
  <w:numPicBullet w:numPicBulletId="16">
    <w:pict>
      <v:shape id="_x0000_i1722" type="#_x0000_t75" style="width:3in;height:3in" o:bullet="t"/>
    </w:pict>
  </w:numPicBullet>
  <w:numPicBullet w:numPicBulletId="17">
    <w:pict>
      <v:shape id="_x0000_i1723" type="#_x0000_t75" style="width:3in;height:3in" o:bullet="t"/>
    </w:pict>
  </w:numPicBullet>
  <w:numPicBullet w:numPicBulletId="18">
    <w:pict>
      <v:shape id="_x0000_i1724" type="#_x0000_t75" style="width:3in;height:3in" o:bullet="t"/>
    </w:pict>
  </w:numPicBullet>
  <w:numPicBullet w:numPicBulletId="19">
    <w:pict>
      <v:shape id="_x0000_i172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0"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1"/>
  </w:num>
  <w:num w:numId="5">
    <w:abstractNumId w:val="25"/>
  </w:num>
  <w:num w:numId="6">
    <w:abstractNumId w:val="20"/>
  </w:num>
  <w:num w:numId="7">
    <w:abstractNumId w:val="7"/>
  </w:num>
  <w:num w:numId="8">
    <w:abstractNumId w:val="14"/>
  </w:num>
  <w:num w:numId="9">
    <w:abstractNumId w:val="19"/>
  </w:num>
  <w:num w:numId="10">
    <w:abstractNumId w:val="15"/>
  </w:num>
  <w:num w:numId="11">
    <w:abstractNumId w:val="12"/>
  </w:num>
  <w:num w:numId="12">
    <w:abstractNumId w:val="13"/>
  </w:num>
  <w:num w:numId="13">
    <w:abstractNumId w:val="32"/>
  </w:num>
  <w:num w:numId="14">
    <w:abstractNumId w:val="23"/>
  </w:num>
  <w:num w:numId="15">
    <w:abstractNumId w:val="26"/>
  </w:num>
  <w:num w:numId="16">
    <w:abstractNumId w:val="2"/>
  </w:num>
  <w:num w:numId="17">
    <w:abstractNumId w:val="27"/>
  </w:num>
  <w:num w:numId="18">
    <w:abstractNumId w:val="17"/>
  </w:num>
  <w:num w:numId="19">
    <w:abstractNumId w:val="22"/>
  </w:num>
  <w:num w:numId="20">
    <w:abstractNumId w:val="24"/>
  </w:num>
  <w:num w:numId="21">
    <w:abstractNumId w:val="28"/>
  </w:num>
  <w:num w:numId="22">
    <w:abstractNumId w:val="30"/>
  </w:num>
  <w:num w:numId="23">
    <w:abstractNumId w:val="4"/>
  </w:num>
  <w:num w:numId="24">
    <w:abstractNumId w:val="16"/>
  </w:num>
  <w:num w:numId="25">
    <w:abstractNumId w:val="8"/>
  </w:num>
  <w:num w:numId="26">
    <w:abstractNumId w:val="10"/>
  </w:num>
  <w:num w:numId="27">
    <w:abstractNumId w:val="18"/>
  </w:num>
  <w:num w:numId="28">
    <w:abstractNumId w:val="9"/>
  </w:num>
  <w:num w:numId="29">
    <w:abstractNumId w:val="3"/>
  </w:num>
  <w:num w:numId="30">
    <w:abstractNumId w:val="11"/>
  </w:num>
  <w:num w:numId="31">
    <w:abstractNumId w:val="33"/>
  </w:num>
  <w:num w:numId="32">
    <w:abstractNumId w:val="29"/>
  </w:num>
  <w:num w:numId="33">
    <w:abstractNumId w:val="1"/>
  </w:num>
  <w:num w:numId="34">
    <w:abstractNumId w:val="21"/>
    <w:lvlOverride w:ilvl="0">
      <w:startOverride w:val="17"/>
    </w:lvlOverride>
  </w:num>
  <w:num w:numId="35">
    <w:abstractNumId w:val="21"/>
    <w:lvlOverride w:ilvl="0">
      <w:startOverride w:val="18"/>
    </w:lvlOverride>
  </w:num>
  <w:num w:numId="36">
    <w:abstractNumId w:val="21"/>
    <w:lvlOverride w:ilvl="0">
      <w:startOverride w:val="19"/>
    </w:lvlOverride>
  </w:num>
  <w:num w:numId="37">
    <w:abstractNumId w:val="21"/>
    <w:lvlOverride w:ilvl="0">
      <w:startOverride w:val="20"/>
    </w:lvlOverride>
  </w:num>
  <w:num w:numId="38">
    <w:abstractNumId w:val="21"/>
    <w:lvlOverride w:ilvl="0">
      <w:startOverride w:val="21"/>
    </w:lvlOverride>
  </w:num>
  <w:num w:numId="39">
    <w:abstractNumId w:val="21"/>
    <w:lvlOverride w:ilvl="0">
      <w:startOverride w:val="22"/>
    </w:lvlOverride>
  </w:num>
  <w:num w:numId="40">
    <w:abstractNumId w:val="21"/>
    <w:lvlOverride w:ilvl="0">
      <w:startOverride w:val="23"/>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7CF"/>
    <w:rsid w:val="00285E77"/>
    <w:rsid w:val="002863CA"/>
    <w:rsid w:val="00290E48"/>
    <w:rsid w:val="002913D8"/>
    <w:rsid w:val="00292773"/>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C5"/>
    <w:rsid w:val="003B715D"/>
    <w:rsid w:val="003C0356"/>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EB"/>
    <w:rsid w:val="0042642B"/>
    <w:rsid w:val="00426620"/>
    <w:rsid w:val="004269B3"/>
    <w:rsid w:val="00426AED"/>
    <w:rsid w:val="004270D6"/>
    <w:rsid w:val="004274B5"/>
    <w:rsid w:val="00427B66"/>
    <w:rsid w:val="00430F52"/>
    <w:rsid w:val="0043114C"/>
    <w:rsid w:val="004324DE"/>
    <w:rsid w:val="00432754"/>
    <w:rsid w:val="00432C69"/>
    <w:rsid w:val="00432F68"/>
    <w:rsid w:val="00433A4A"/>
    <w:rsid w:val="00434165"/>
    <w:rsid w:val="00434F5E"/>
    <w:rsid w:val="004353E9"/>
    <w:rsid w:val="0043628A"/>
    <w:rsid w:val="004378F6"/>
    <w:rsid w:val="004408BD"/>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462E"/>
    <w:rsid w:val="004E610E"/>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B31"/>
    <w:rsid w:val="007A0CFC"/>
    <w:rsid w:val="007A1451"/>
    <w:rsid w:val="007A4A2C"/>
    <w:rsid w:val="007A52CA"/>
    <w:rsid w:val="007A5811"/>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32F8"/>
    <w:rsid w:val="00854432"/>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6EB9"/>
    <w:rsid w:val="00887193"/>
    <w:rsid w:val="00887E2A"/>
    <w:rsid w:val="00890109"/>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264A"/>
    <w:rsid w:val="00932844"/>
    <w:rsid w:val="00932D95"/>
    <w:rsid w:val="00933A69"/>
    <w:rsid w:val="00934E58"/>
    <w:rsid w:val="00935507"/>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95E"/>
    <w:rsid w:val="00990B2C"/>
    <w:rsid w:val="00990E89"/>
    <w:rsid w:val="0099114A"/>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30B3"/>
    <w:rsid w:val="00A04E89"/>
    <w:rsid w:val="00A04E9F"/>
    <w:rsid w:val="00A05CA0"/>
    <w:rsid w:val="00A07C5E"/>
    <w:rsid w:val="00A1006C"/>
    <w:rsid w:val="00A11F22"/>
    <w:rsid w:val="00A12A3B"/>
    <w:rsid w:val="00A12BE6"/>
    <w:rsid w:val="00A12FD7"/>
    <w:rsid w:val="00A1513A"/>
    <w:rsid w:val="00A15228"/>
    <w:rsid w:val="00A155D6"/>
    <w:rsid w:val="00A159D1"/>
    <w:rsid w:val="00A15B3A"/>
    <w:rsid w:val="00A163CC"/>
    <w:rsid w:val="00A16C9A"/>
    <w:rsid w:val="00A2041D"/>
    <w:rsid w:val="00A20ED3"/>
    <w:rsid w:val="00A212EE"/>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56D6"/>
    <w:rsid w:val="00DB78AB"/>
    <w:rsid w:val="00DC0290"/>
    <w:rsid w:val="00DC02A0"/>
    <w:rsid w:val="00DC0CD2"/>
    <w:rsid w:val="00DC115D"/>
    <w:rsid w:val="00DC13E9"/>
    <w:rsid w:val="00DC1D71"/>
    <w:rsid w:val="00DC2ED1"/>
    <w:rsid w:val="00DC3856"/>
    <w:rsid w:val="00DC4A35"/>
    <w:rsid w:val="00DC4DBE"/>
    <w:rsid w:val="00DC5692"/>
    <w:rsid w:val="00DC674C"/>
    <w:rsid w:val="00DC692D"/>
    <w:rsid w:val="00DC7059"/>
    <w:rsid w:val="00DC70CD"/>
    <w:rsid w:val="00DD1EDA"/>
    <w:rsid w:val="00DD2F49"/>
    <w:rsid w:val="00DD5C0C"/>
    <w:rsid w:val="00DD6235"/>
    <w:rsid w:val="00DD697F"/>
    <w:rsid w:val="00DD7C08"/>
    <w:rsid w:val="00DE0268"/>
    <w:rsid w:val="00DE0AE4"/>
    <w:rsid w:val="00DE186B"/>
    <w:rsid w:val="00DE1A14"/>
    <w:rsid w:val="00DE32B7"/>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2966-PGP.html/identifiant=BOI-RES-BIC-000087-20210407" TargetMode="External"/><Relationship Id="rId13" Type="http://schemas.openxmlformats.org/officeDocument/2006/relationships/hyperlink" Target="https://bofip.impots.gouv.fr/bofip/12811-PGP.html/ACTU-2021-00050" TargetMode="External"/><Relationship Id="rId18" Type="http://schemas.openxmlformats.org/officeDocument/2006/relationships/hyperlink" Target="https://curia.europa.eu/juris/document/document.jsf?text=&amp;docid=239245&amp;pageIndex=0&amp;doclang=FR&amp;mode=lst&amp;dir=&amp;occ=first&amp;part=1&amp;cid=8835719" TargetMode="External"/><Relationship Id="rId26" Type="http://schemas.openxmlformats.org/officeDocument/2006/relationships/hyperlink" Target="https://bofip.impots.gouv.fr/bofip/13115-PGP.html/ACTU-2021-00193"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economie.gouv.fr/files/files/directions_services/daj/marches_publics/oecp/recensement/ppt-recensement%20chiffres%202019.pdf" TargetMode="External"/><Relationship Id="rId34" Type="http://schemas.openxmlformats.org/officeDocument/2006/relationships/hyperlink" Target="https://bofip.impots.gouv.fr/bofip/12500-PGP.html/ACTU-2020-0024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ofip.impots.gouv.fr/bofip/13092-PGP.html/ACTU-2021-00185" TargetMode="External"/><Relationship Id="rId17" Type="http://schemas.openxmlformats.org/officeDocument/2006/relationships/hyperlink" Target="https://www.anc.gouv.fr/files/live/sites/anc/files/contributed/ANC/1_Normes_fran%c3%a7aises/Reglements/2021/Reglt_2021_01/Reglt_2021-01_Coop-agri_version-Recueil.pdf" TargetMode="External"/><Relationship Id="rId25" Type="http://schemas.openxmlformats.org/officeDocument/2006/relationships/hyperlink" Target="https://bofip.impots.gouv.fr/bofip/13068-PGP.html/ACTU-2021-00173" TargetMode="External"/><Relationship Id="rId33" Type="http://schemas.openxmlformats.org/officeDocument/2006/relationships/hyperlink" Target="https://bofip.impots.gouv.fr/bofip/13103-PGP.html/ACTU-2021-00187"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nc.gouv.fr/files/live/sites/anc/files/contributed/ANC/1_Normes_fran%c3%a7aises/Reglements/2021/Reglt_2021_01/Reglt_2021_01_Coop-agri.pdf" TargetMode="External"/><Relationship Id="rId20" Type="http://schemas.openxmlformats.org/officeDocument/2006/relationships/hyperlink" Target="https://www.courdecassation.fr/jurisprudence_2/arrets_publies_2986/chambre_commerciale_financiere_economique_3172/2021_9991/mars_10045/339_24_46765.html" TargetMode="External"/><Relationship Id="rId29" Type="http://schemas.openxmlformats.org/officeDocument/2006/relationships/hyperlink" Target="https://bofip.impots.gouv.fr/bofip/13057-PGP.html/ACTU-2021-0016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ceta/id/CETATEXT000043350541" TargetMode="External"/><Relationship Id="rId24" Type="http://schemas.openxmlformats.org/officeDocument/2006/relationships/hyperlink" Target="https://bofip.impots.gouv.fr/bofip/13061-PGP.html/ACTU-2021-00169" TargetMode="External"/><Relationship Id="rId32" Type="http://schemas.openxmlformats.org/officeDocument/2006/relationships/hyperlink" Target="https://bofip.impots.gouv.fr/bofip/12892-PGP.html/ACTU-2021-00106" TargetMode="External"/><Relationship Id="rId37" Type="http://schemas.openxmlformats.org/officeDocument/2006/relationships/hyperlink" Target="https://bofip.impots.gouv.fr/bofip/13092-PGP.html/ACTU-2021-0018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ofip.impots.gouv.fr/bofip/13138-PGP.html/ACTU-2021-00199" TargetMode="External"/><Relationship Id="rId23" Type="http://schemas.openxmlformats.org/officeDocument/2006/relationships/hyperlink" Target="https://bofip.impots.gouv.fr/bofip/13136-PGP.html/ACTU-2021-00198" TargetMode="External"/><Relationship Id="rId28" Type="http://schemas.openxmlformats.org/officeDocument/2006/relationships/hyperlink" Target="https://bofip.impots.gouv.fr/bofip/13114-PGP.html/ACTU-2021-00192" TargetMode="External"/><Relationship Id="rId36" Type="http://schemas.openxmlformats.org/officeDocument/2006/relationships/hyperlink" Target="https://bofip.impots.gouv.fr/bofip/12795-PGP.html/ACTU-2021-00042" TargetMode="External"/><Relationship Id="rId10" Type="http://schemas.openxmlformats.org/officeDocument/2006/relationships/hyperlink" Target="https://questions.assemblee-nationale.fr/q15/15-35554QE.htm" TargetMode="External"/><Relationship Id="rId19" Type="http://schemas.openxmlformats.org/officeDocument/2006/relationships/hyperlink" Target="https://www.legifrance.gouv.fr/juri/id/JURITEXT000043227246?page=1&amp;pageSize=10&amp;query=20-82.068&amp;searchField=ALL&amp;searchType=ALL&amp;sortValue=DATE_DESC&amp;tab_selection=juri&amp;typePagination=DEFAULT" TargetMode="External"/><Relationship Id="rId31" Type="http://schemas.openxmlformats.org/officeDocument/2006/relationships/hyperlink" Target="https://bofip.impots.gouv.fr/bofip/13113-PGP.html/ACTU-2021-00191" TargetMode="External"/><Relationship Id="rId4" Type="http://schemas.openxmlformats.org/officeDocument/2006/relationships/settings" Target="settings.xml"/><Relationship Id="rId9" Type="http://schemas.openxmlformats.org/officeDocument/2006/relationships/hyperlink" Target="https://bofip.impots.gouv.fr/bofip/13114-PGP.html/ACTU-2021-00192" TargetMode="External"/><Relationship Id="rId14" Type="http://schemas.openxmlformats.org/officeDocument/2006/relationships/hyperlink" Target="https://bofip.impots.gouv.fr/bofip/13118-PGP.html/ACTU-2021-00195" TargetMode="External"/><Relationship Id="rId22" Type="http://schemas.openxmlformats.org/officeDocument/2006/relationships/hyperlink" Target="https://bofip.impots.gouv.fr/bofip/13138-PGP.html/ACTU-2021-00199" TargetMode="External"/><Relationship Id="rId27" Type="http://schemas.openxmlformats.org/officeDocument/2006/relationships/hyperlink" Target="https://bofip.impots.gouv.fr/bofip/13118-PGP.html/ACTU-2021-00195" TargetMode="External"/><Relationship Id="rId30" Type="http://schemas.openxmlformats.org/officeDocument/2006/relationships/hyperlink" Target="https://bofip.impots.gouv.fr/bofip/12875-PGP.html/ACTU-2021-00096" TargetMode="External"/><Relationship Id="rId35" Type="http://schemas.openxmlformats.org/officeDocument/2006/relationships/hyperlink" Target="https://bofip.impots.gouv.fr/bofip/12811-PGP.html/ACTU-2021-0005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1</Pages>
  <Words>2358</Words>
  <Characters>12975</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15303</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23</cp:revision>
  <cp:lastPrinted>2020-08-04T09:31:00Z</cp:lastPrinted>
  <dcterms:created xsi:type="dcterms:W3CDTF">2021-03-04T15:01:00Z</dcterms:created>
  <dcterms:modified xsi:type="dcterms:W3CDTF">2021-06-01T14:58:00Z</dcterms:modified>
</cp:coreProperties>
</file>