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2D5B0713"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862E2B">
              <w:rPr>
                <w:rFonts w:ascii="Times New Roman" w:eastAsia="Times New Roman" w:hAnsi="Times New Roman"/>
                <w:noProof/>
                <w:sz w:val="20"/>
              </w:rPr>
              <w:t>3</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41A4089C" w:rsidR="003565C4" w:rsidRPr="00D12904" w:rsidRDefault="00E911FE" w:rsidP="00E911FE">
            <w:pPr>
              <w:pStyle w:val="Corpsdetexte"/>
              <w:spacing w:before="0" w:after="0"/>
              <w:ind w:left="-8"/>
            </w:pPr>
            <w:r>
              <w:t>Paris</w:t>
            </w:r>
            <w:r w:rsidR="00B37B52" w:rsidRPr="00D12904">
              <w:t xml:space="preserve">, le </w:t>
            </w:r>
            <w:r w:rsidR="00862E2B">
              <w:t>4</w:t>
            </w:r>
            <w:r w:rsidR="00AE2122">
              <w:t xml:space="preserve"> </w:t>
            </w:r>
            <w:r w:rsidR="00862E2B">
              <w:t>avril</w:t>
            </w:r>
            <w:r w:rsidR="00A57E3D">
              <w:t xml:space="preserve"> 2021</w:t>
            </w:r>
          </w:p>
        </w:tc>
      </w:tr>
    </w:tbl>
    <w:p w14:paraId="27D5BEC7" w14:textId="77777777" w:rsidR="00302BF5" w:rsidRPr="00E935A2" w:rsidRDefault="00E935A2" w:rsidP="00E935A2">
      <w:pPr>
        <w:spacing w:line="280" w:lineRule="exact"/>
        <w:jc w:val="center"/>
        <w:rPr>
          <w:b/>
        </w:rPr>
      </w:pPr>
      <w:r w:rsidRPr="00E935A2">
        <w:rPr>
          <w:b/>
        </w:rPr>
        <w:t>RÉSUMÉ DU MOIS</w:t>
      </w:r>
    </w:p>
    <w:p w14:paraId="23978685" w14:textId="77777777" w:rsidR="00A15B3A" w:rsidRPr="00870D41" w:rsidRDefault="00A15B3A" w:rsidP="00C42CCE">
      <w:pPr>
        <w:spacing w:before="120" w:after="120" w:line="240" w:lineRule="auto"/>
      </w:pPr>
    </w:p>
    <w:p w14:paraId="07105D35" w14:textId="77777777" w:rsidR="004378F6" w:rsidRPr="00C42CCE" w:rsidRDefault="00596118" w:rsidP="00C42CCE">
      <w:pPr>
        <w:spacing w:before="120" w:after="120" w:line="240" w:lineRule="auto"/>
        <w:rPr>
          <w:b/>
        </w:rPr>
      </w:pPr>
      <w:r w:rsidRPr="00596118">
        <w:rPr>
          <w:b/>
        </w:rPr>
        <w:t xml:space="preserve">1- Fiscalité </w:t>
      </w:r>
      <w:r w:rsidR="004378F6">
        <w:rPr>
          <w:b/>
        </w:rPr>
        <w:tab/>
      </w:r>
      <w:r w:rsidR="004533B5">
        <w:rPr>
          <w:bCs/>
        </w:rPr>
        <w:t xml:space="preserve"> </w:t>
      </w:r>
    </w:p>
    <w:p w14:paraId="19D47945" w14:textId="3FF116AB" w:rsidR="00D1561B" w:rsidRDefault="00596118" w:rsidP="00364571">
      <w:pPr>
        <w:spacing w:before="120" w:after="120" w:line="240" w:lineRule="auto"/>
        <w:ind w:left="1701" w:hanging="1701"/>
      </w:pPr>
      <w:r w:rsidRPr="00122165">
        <w:rPr>
          <w:b/>
        </w:rPr>
        <w:t>IS :</w:t>
      </w:r>
      <w:r w:rsidR="00D47E79">
        <w:t xml:space="preserve"> </w:t>
      </w:r>
      <w:r w:rsidR="00D47E79">
        <w:tab/>
      </w:r>
      <w:r w:rsidR="003C5765">
        <w:t>Aider encore à la transformation des bureaux en logements – La valeur comptable d’un immeuble démoli est une perte – LA TVA reversée et transférée à l’acquéreur ne joue pas sur la plus-value de cession -</w:t>
      </w:r>
    </w:p>
    <w:p w14:paraId="073D1CB1" w14:textId="244CF21F" w:rsidR="00916F7D" w:rsidRDefault="00596118" w:rsidP="00596118">
      <w:pPr>
        <w:spacing w:before="120" w:after="120" w:line="240" w:lineRule="auto"/>
        <w:ind w:left="1701" w:hanging="1701"/>
      </w:pPr>
      <w:r w:rsidRPr="00122165">
        <w:rPr>
          <w:b/>
        </w:rPr>
        <w:t>TVA :</w:t>
      </w:r>
      <w:r w:rsidR="00DB56D6">
        <w:t xml:space="preserve"> </w:t>
      </w:r>
      <w:r w:rsidR="00DB56D6">
        <w:tab/>
      </w:r>
      <w:r w:rsidR="003C5765">
        <w:t>Transfert des droit à déduction : un papier de moins à envoyer à l’Administration – Pas de TVA sur les acomptes si la prestation n’est pas réalisée ou si elle est incertaine -</w:t>
      </w:r>
    </w:p>
    <w:p w14:paraId="4E8276DC" w14:textId="099AE6B7" w:rsidR="001261C0" w:rsidRDefault="00596118" w:rsidP="007B0F69">
      <w:pPr>
        <w:spacing w:before="120" w:after="120" w:line="240" w:lineRule="auto"/>
        <w:ind w:left="1701" w:hanging="1701"/>
      </w:pPr>
      <w:r w:rsidRPr="00122165">
        <w:rPr>
          <w:b/>
        </w:rPr>
        <w:t>Locaux :</w:t>
      </w:r>
      <w:r w:rsidR="004A7406">
        <w:tab/>
      </w:r>
      <w:r w:rsidR="003C5765">
        <w:t>Taxe foncière réduite pour les baux solidaires -</w:t>
      </w:r>
    </w:p>
    <w:p w14:paraId="7E16B77A" w14:textId="5333044A" w:rsidR="004A7406" w:rsidRDefault="00596118" w:rsidP="00596118">
      <w:pPr>
        <w:spacing w:before="120" w:after="120" w:line="240" w:lineRule="auto"/>
        <w:ind w:left="1701" w:hanging="1701"/>
      </w:pPr>
      <w:r w:rsidRPr="00122165">
        <w:rPr>
          <w:b/>
        </w:rPr>
        <w:t>TS :</w:t>
      </w:r>
      <w:r>
        <w:t xml:space="preserve"> </w:t>
      </w:r>
      <w:r>
        <w:tab/>
      </w:r>
      <w:r w:rsidR="007321A7">
        <w:t>Rien à signaler</w:t>
      </w:r>
    </w:p>
    <w:p w14:paraId="4889B031" w14:textId="6DEDE01F" w:rsidR="00B50E23" w:rsidRDefault="00596118" w:rsidP="00B50E23">
      <w:pPr>
        <w:spacing w:before="120" w:after="120" w:line="240" w:lineRule="auto"/>
        <w:ind w:left="1701" w:hanging="1701"/>
      </w:pPr>
      <w:r w:rsidRPr="00122165">
        <w:rPr>
          <w:b/>
        </w:rPr>
        <w:t>Divers</w:t>
      </w:r>
      <w:r w:rsidR="004A7406">
        <w:t xml:space="preserve"> :</w:t>
      </w:r>
      <w:r w:rsidR="004A7406">
        <w:tab/>
      </w:r>
      <w:r w:rsidR="003C5765">
        <w:t>Rien à signaler</w:t>
      </w:r>
    </w:p>
    <w:p w14:paraId="65391ECA" w14:textId="77777777" w:rsidR="00A05CA0" w:rsidRDefault="00A05CA0" w:rsidP="002976C6">
      <w:pPr>
        <w:spacing w:before="120" w:after="120" w:line="240" w:lineRule="auto"/>
      </w:pPr>
    </w:p>
    <w:p w14:paraId="5B5F272A" w14:textId="77777777" w:rsidR="00596118" w:rsidRPr="00596118" w:rsidRDefault="00596118" w:rsidP="00596118">
      <w:pPr>
        <w:spacing w:before="120" w:after="120" w:line="240" w:lineRule="auto"/>
        <w:ind w:left="1701" w:hanging="1701"/>
        <w:rPr>
          <w:b/>
        </w:rPr>
      </w:pPr>
      <w:r w:rsidRPr="00596118">
        <w:rPr>
          <w:b/>
        </w:rPr>
        <w:t xml:space="preserve">2- Comptabilité </w:t>
      </w:r>
    </w:p>
    <w:p w14:paraId="6C6E52CB" w14:textId="61761CB6" w:rsidR="00B54BDA" w:rsidRDefault="00596118" w:rsidP="005A391C">
      <w:pPr>
        <w:spacing w:before="120" w:after="120" w:line="240" w:lineRule="auto"/>
        <w:ind w:left="1701" w:hanging="1701"/>
      </w:pPr>
      <w:r w:rsidRPr="00122165">
        <w:rPr>
          <w:b/>
        </w:rPr>
        <w:t>Publique :</w:t>
      </w:r>
      <w:r w:rsidR="00B00EF7">
        <w:t xml:space="preserve"> </w:t>
      </w:r>
      <w:r w:rsidR="00B00EF7">
        <w:tab/>
      </w:r>
      <w:r w:rsidR="00354BD0">
        <w:t>Rien à signaler</w:t>
      </w:r>
    </w:p>
    <w:p w14:paraId="5F6B1C19" w14:textId="4EA0B64A" w:rsidR="005A391C" w:rsidRDefault="00596118" w:rsidP="005A391C">
      <w:pPr>
        <w:spacing w:before="120" w:after="120" w:line="240" w:lineRule="auto"/>
        <w:ind w:left="1701" w:hanging="1701"/>
      </w:pPr>
      <w:r w:rsidRPr="00122165">
        <w:rPr>
          <w:b/>
        </w:rPr>
        <w:t>Privée :</w:t>
      </w:r>
      <w:r w:rsidR="00B00EF7">
        <w:t xml:space="preserve"> </w:t>
      </w:r>
      <w:r w:rsidR="00B00EF7">
        <w:tab/>
      </w:r>
      <w:r w:rsidR="003C5765">
        <w:t>Les intérêts du passé ne sont pas à comptabiliser dans les charges du futur -</w:t>
      </w:r>
    </w:p>
    <w:p w14:paraId="2B21C9B8" w14:textId="77777777" w:rsidR="00596118" w:rsidRDefault="00596118" w:rsidP="005A391C">
      <w:pPr>
        <w:spacing w:before="120" w:after="120" w:line="240" w:lineRule="auto"/>
      </w:pPr>
    </w:p>
    <w:p w14:paraId="4A445B21" w14:textId="77777777" w:rsidR="00596118" w:rsidRPr="00596118" w:rsidRDefault="00596118" w:rsidP="00596118">
      <w:pPr>
        <w:spacing w:before="120" w:after="120" w:line="240" w:lineRule="auto"/>
        <w:ind w:left="1701" w:hanging="1701"/>
        <w:rPr>
          <w:b/>
        </w:rPr>
      </w:pPr>
      <w:r w:rsidRPr="00596118">
        <w:rPr>
          <w:b/>
        </w:rPr>
        <w:t xml:space="preserve">3- Réglementation </w:t>
      </w:r>
    </w:p>
    <w:p w14:paraId="3B68DF2C" w14:textId="10078B49" w:rsidR="00B54BDA" w:rsidRDefault="00596118" w:rsidP="00B54BDA">
      <w:pPr>
        <w:spacing w:before="120" w:after="120" w:line="240" w:lineRule="auto"/>
        <w:ind w:left="1701" w:hanging="1701"/>
      </w:pPr>
      <w:r w:rsidRPr="00122165">
        <w:rPr>
          <w:b/>
        </w:rPr>
        <w:t>Textes :</w:t>
      </w:r>
      <w:r>
        <w:t xml:space="preserve"> </w:t>
      </w:r>
      <w:r w:rsidR="00223947">
        <w:tab/>
      </w:r>
      <w:r w:rsidR="003C5765">
        <w:t>Un nouveau : le BOSS – Encore de la visio-conférence pour les organes des entreprises -</w:t>
      </w:r>
    </w:p>
    <w:p w14:paraId="41468130" w14:textId="6640A237" w:rsidR="006B1E5F" w:rsidRDefault="00596118" w:rsidP="00FA7730">
      <w:pPr>
        <w:spacing w:before="120" w:after="120" w:line="240" w:lineRule="auto"/>
        <w:ind w:left="1701" w:hanging="1701"/>
      </w:pPr>
      <w:r w:rsidRPr="00122165">
        <w:rPr>
          <w:b/>
        </w:rPr>
        <w:t>Réponses :</w:t>
      </w:r>
      <w:r>
        <w:t xml:space="preserve"> </w:t>
      </w:r>
      <w:r w:rsidR="00223947">
        <w:tab/>
      </w:r>
      <w:r w:rsidR="00423031">
        <w:t>Rien à signaler</w:t>
      </w:r>
    </w:p>
    <w:p w14:paraId="48D6DEFC" w14:textId="125C4862" w:rsidR="00CE269F" w:rsidRDefault="00596118" w:rsidP="00591898">
      <w:pPr>
        <w:spacing w:before="120" w:after="120" w:line="240" w:lineRule="auto"/>
        <w:ind w:left="1701" w:hanging="1701"/>
      </w:pPr>
      <w:r w:rsidRPr="004E2169">
        <w:rPr>
          <w:b/>
          <w:spacing w:val="-8"/>
        </w:rPr>
        <w:t>Jurisprudence :</w:t>
      </w:r>
      <w:r>
        <w:t xml:space="preserve"> </w:t>
      </w:r>
      <w:r w:rsidR="00223947">
        <w:tab/>
      </w:r>
      <w:r w:rsidR="00423031">
        <w:t>Rien à signaler</w:t>
      </w:r>
    </w:p>
    <w:p w14:paraId="76354D80" w14:textId="03A6022B" w:rsidR="00004382" w:rsidRDefault="00596118" w:rsidP="00004382">
      <w:pPr>
        <w:spacing w:before="120" w:after="120" w:line="240" w:lineRule="auto"/>
        <w:ind w:left="1701" w:hanging="1701"/>
      </w:pPr>
      <w:r w:rsidRPr="00122165">
        <w:rPr>
          <w:b/>
        </w:rPr>
        <w:t>Divers :</w:t>
      </w:r>
      <w:r>
        <w:t xml:space="preserve"> </w:t>
      </w:r>
      <w:r>
        <w:tab/>
      </w:r>
      <w:r w:rsidR="00423031">
        <w:t>Les finances des syndicats -</w:t>
      </w:r>
    </w:p>
    <w:p w14:paraId="77F778DB" w14:textId="77777777" w:rsidR="00303BBA" w:rsidRDefault="00303BBA" w:rsidP="00004382">
      <w:pPr>
        <w:spacing w:before="120" w:after="120" w:line="240" w:lineRule="auto"/>
        <w:ind w:left="1701" w:hanging="1701"/>
      </w:pPr>
    </w:p>
    <w:p w14:paraId="75EB0D2D" w14:textId="11097543" w:rsidR="00E935A2" w:rsidRDefault="00E935A2" w:rsidP="00E0331C">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28E825D9" w14:textId="3EAD0CC6" w:rsidR="006B1429" w:rsidRDefault="00CB4970" w:rsidP="006B1429">
      <w:pPr>
        <w:spacing w:before="120" w:after="0" w:line="240" w:lineRule="auto"/>
        <w:rPr>
          <w:rFonts w:cs="Times"/>
          <w:color w:val="003300"/>
          <w:szCs w:val="24"/>
        </w:rPr>
      </w:pPr>
      <w:r>
        <w:rPr>
          <w:rFonts w:cs="Times"/>
          <w:color w:val="003300"/>
          <w:szCs w:val="24"/>
          <w:u w:val="single"/>
        </w:rPr>
        <w:t>Transformer des bureaux en logements</w:t>
      </w:r>
      <w:r w:rsidR="006B1429" w:rsidRPr="006B1429">
        <w:rPr>
          <w:rFonts w:cs="Times"/>
          <w:color w:val="003300"/>
          <w:szCs w:val="24"/>
          <w:u w:val="single"/>
        </w:rPr>
        <w:t xml:space="preserve"> –</w:t>
      </w:r>
      <w:r w:rsidR="006B1429">
        <w:rPr>
          <w:rFonts w:cs="Times"/>
          <w:color w:val="003300"/>
          <w:szCs w:val="24"/>
        </w:rPr>
        <w:t xml:space="preserve"> </w:t>
      </w:r>
      <w:r>
        <w:rPr>
          <w:rFonts w:cs="Times"/>
          <w:color w:val="003300"/>
          <w:szCs w:val="24"/>
        </w:rPr>
        <w:t>Prolongation des incitations fiscales.</w:t>
      </w:r>
    </w:p>
    <w:p w14:paraId="5AF1B0C9" w14:textId="5B74B40C" w:rsidR="00CB4970" w:rsidRPr="006B1429" w:rsidRDefault="00CB4970" w:rsidP="00052F47">
      <w:pPr>
        <w:spacing w:before="120" w:after="0" w:line="240" w:lineRule="auto"/>
        <w:ind w:left="567"/>
        <w:rPr>
          <w:rFonts w:cs="Times"/>
          <w:color w:val="0066FF"/>
          <w:szCs w:val="24"/>
        </w:rPr>
      </w:pPr>
      <w:hyperlink r:id="rId8" w:tooltip="31/03/2021 : IS - Prorogation et modification du régime des plus-values de cession de locaux professionnels transformés en logements ou de terrains à bâtir sur lesquels sont construits des logements (loi n° 2020-1721 du 29 décembre 2020 de finances pour 2021, art. 17 et 25)" w:history="1">
        <w:r w:rsidRPr="00CB4970">
          <w:rPr>
            <w:rStyle w:val="Lienhypertexte"/>
            <w:rFonts w:cs="Times"/>
            <w:szCs w:val="24"/>
          </w:rPr>
          <w:t>31/03/2021 : IS - Prorogation et modification du régime des plus-values de cession de locaux professionnels transformés en logements ou de terrains à bâtir sur lesquels sont construits des logements (loi n° 2020-1721 du 29 décembre 2020 de finances pour 2021, art. 17 et 25)</w:t>
        </w:r>
      </w:hyperlink>
    </w:p>
    <w:p w14:paraId="491ED9E9" w14:textId="60545349" w:rsidR="00C2403C" w:rsidRDefault="00C2403C" w:rsidP="00C2403C">
      <w:pPr>
        <w:spacing w:before="120" w:after="0" w:line="240" w:lineRule="auto"/>
        <w:rPr>
          <w:rFonts w:cs="Times"/>
          <w:color w:val="003300"/>
          <w:szCs w:val="24"/>
        </w:rPr>
      </w:pPr>
      <w:r>
        <w:rPr>
          <w:rFonts w:cs="Times"/>
          <w:color w:val="003300"/>
          <w:szCs w:val="24"/>
          <w:u w:val="single"/>
        </w:rPr>
        <w:t>Valeur d’un immeuble démoli</w:t>
      </w:r>
      <w:r w:rsidRPr="006B1429">
        <w:rPr>
          <w:rFonts w:cs="Times"/>
          <w:color w:val="003300"/>
          <w:szCs w:val="24"/>
          <w:u w:val="single"/>
        </w:rPr>
        <w:t xml:space="preserve"> –</w:t>
      </w:r>
      <w:r>
        <w:rPr>
          <w:rFonts w:cs="Times"/>
          <w:color w:val="003300"/>
          <w:szCs w:val="24"/>
        </w:rPr>
        <w:t xml:space="preserve"> </w:t>
      </w:r>
      <w:r w:rsidR="00D52601">
        <w:rPr>
          <w:rFonts w:cs="Times"/>
          <w:color w:val="003300"/>
          <w:szCs w:val="24"/>
        </w:rPr>
        <w:t>Il s’agit bien d’une perte déductible, sauf dans le cas où la démolition est inhérente à une opération de construction neuve.</w:t>
      </w:r>
    </w:p>
    <w:p w14:paraId="0BEECA15" w14:textId="6D791C35" w:rsidR="00862E2B" w:rsidRDefault="00D52601" w:rsidP="00D52601">
      <w:pPr>
        <w:spacing w:before="120" w:after="0" w:line="240" w:lineRule="auto"/>
        <w:ind w:left="567"/>
        <w:rPr>
          <w:rFonts w:cs="Times"/>
          <w:color w:val="003300"/>
          <w:szCs w:val="24"/>
        </w:rPr>
      </w:pPr>
      <w:hyperlink r:id="rId9" w:history="1">
        <w:r w:rsidRPr="00D52601">
          <w:rPr>
            <w:rStyle w:val="Lienhypertexte"/>
            <w:rFonts w:cs="Times"/>
            <w:szCs w:val="24"/>
          </w:rPr>
          <w:t>BOI-BIC-CHG-60-20-10 n° 20</w:t>
        </w:r>
      </w:hyperlink>
      <w:r w:rsidRPr="00D52601">
        <w:rPr>
          <w:rFonts w:cs="Times"/>
          <w:color w:val="003300"/>
          <w:szCs w:val="24"/>
        </w:rPr>
        <w:t>, 24-2-2021</w:t>
      </w:r>
    </w:p>
    <w:p w14:paraId="5A3C2001" w14:textId="2B9F3C01" w:rsidR="00080DE8" w:rsidRDefault="00080DE8" w:rsidP="00080DE8">
      <w:pPr>
        <w:spacing w:before="120" w:after="0" w:line="240" w:lineRule="auto"/>
        <w:rPr>
          <w:rFonts w:cs="Times"/>
          <w:color w:val="003300"/>
          <w:szCs w:val="24"/>
        </w:rPr>
      </w:pPr>
      <w:r>
        <w:rPr>
          <w:rFonts w:cs="Times"/>
          <w:color w:val="003300"/>
          <w:szCs w:val="24"/>
          <w:u w:val="single"/>
        </w:rPr>
        <w:t>Plus-value d’un immeuble</w:t>
      </w:r>
      <w:r w:rsidRPr="006B1429">
        <w:rPr>
          <w:rFonts w:cs="Times"/>
          <w:color w:val="003300"/>
          <w:szCs w:val="24"/>
          <w:u w:val="single"/>
        </w:rPr>
        <w:t xml:space="preserve"> –</w:t>
      </w:r>
      <w:r>
        <w:rPr>
          <w:rFonts w:cs="Times"/>
          <w:color w:val="003300"/>
          <w:szCs w:val="24"/>
        </w:rPr>
        <w:t xml:space="preserve"> </w:t>
      </w:r>
      <w:r>
        <w:rPr>
          <w:rFonts w:cs="Times"/>
          <w:color w:val="003300"/>
          <w:szCs w:val="24"/>
        </w:rPr>
        <w:t xml:space="preserve">Elle </w:t>
      </w:r>
      <w:r w:rsidR="00854D09">
        <w:rPr>
          <w:rFonts w:cs="Times"/>
          <w:color w:val="003300"/>
          <w:szCs w:val="24"/>
        </w:rPr>
        <w:t>n’est pas diminué du reversement de la TVA si l’acquéreur se voit transférer le droit à déduction correspondant. Ah ! Les gros malins…</w:t>
      </w:r>
    </w:p>
    <w:p w14:paraId="16CDB653" w14:textId="44E11832" w:rsidR="00854D09" w:rsidRPr="00854D09" w:rsidRDefault="00854D09" w:rsidP="00854D09">
      <w:pPr>
        <w:spacing w:before="120" w:after="0" w:line="240" w:lineRule="auto"/>
        <w:ind w:left="567"/>
        <w:rPr>
          <w:rFonts w:cs="Times"/>
          <w:color w:val="003300"/>
          <w:szCs w:val="24"/>
        </w:rPr>
      </w:pPr>
      <w:hyperlink r:id="rId10" w:history="1">
        <w:r w:rsidRPr="00854D09">
          <w:rPr>
            <w:rStyle w:val="Lienhypertexte"/>
            <w:rFonts w:cs="Times"/>
            <w:szCs w:val="24"/>
          </w:rPr>
          <w:t>CAA de DOUAI</w:t>
        </w:r>
        <w:r w:rsidRPr="00854D09">
          <w:rPr>
            <w:rStyle w:val="Lienhypertexte"/>
            <w:rFonts w:cs="Times"/>
            <w:szCs w:val="24"/>
          </w:rPr>
          <w:t xml:space="preserve"> n° </w:t>
        </w:r>
        <w:r w:rsidRPr="00854D09">
          <w:rPr>
            <w:rStyle w:val="Lienhypertexte"/>
            <w:rFonts w:cs="Times"/>
            <w:szCs w:val="24"/>
          </w:rPr>
          <w:t>18DA01697</w:t>
        </w:r>
      </w:hyperlink>
      <w:r w:rsidRPr="00854D09">
        <w:rPr>
          <w:rFonts w:cs="Times"/>
          <w:color w:val="003300"/>
          <w:szCs w:val="24"/>
        </w:rPr>
        <w:t xml:space="preserve">, 4ème chambre, 30/12/2020, </w:t>
      </w:r>
    </w:p>
    <w:p w14:paraId="62E80419" w14:textId="7B8A83CA"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3B0EF886" w14:textId="0D20FC91" w:rsidR="007A5811" w:rsidRDefault="007A5811" w:rsidP="007A5811">
      <w:pPr>
        <w:spacing w:before="120" w:after="0" w:line="240" w:lineRule="auto"/>
        <w:rPr>
          <w:rFonts w:cs="Times"/>
          <w:color w:val="003300"/>
          <w:szCs w:val="24"/>
        </w:rPr>
      </w:pPr>
      <w:r>
        <w:rPr>
          <w:rFonts w:cs="Times"/>
          <w:color w:val="003300"/>
          <w:szCs w:val="24"/>
          <w:u w:val="single"/>
        </w:rPr>
        <w:t>Transfert des droits à déduction</w:t>
      </w:r>
      <w:r w:rsidRPr="006B1429">
        <w:rPr>
          <w:rFonts w:cs="Times"/>
          <w:color w:val="003300"/>
          <w:szCs w:val="24"/>
          <w:u w:val="single"/>
        </w:rPr>
        <w:t xml:space="preserve"> –</w:t>
      </w:r>
      <w:r>
        <w:rPr>
          <w:rFonts w:cs="Times"/>
          <w:color w:val="003300"/>
          <w:szCs w:val="24"/>
        </w:rPr>
        <w:t xml:space="preserve"> </w:t>
      </w:r>
      <w:r>
        <w:rPr>
          <w:rFonts w:cs="Times"/>
          <w:color w:val="003300"/>
          <w:szCs w:val="24"/>
        </w:rPr>
        <w:t>A conserver par la collectivité et il n’est plus besoin de communiquer à l’Administration l’attestation.</w:t>
      </w:r>
    </w:p>
    <w:p w14:paraId="45860E15" w14:textId="3A664E0F" w:rsidR="007A5811" w:rsidRDefault="007A5811" w:rsidP="007A5811">
      <w:pPr>
        <w:spacing w:before="120" w:after="0" w:line="240" w:lineRule="auto"/>
        <w:ind w:left="567"/>
        <w:rPr>
          <w:rFonts w:cs="Times"/>
          <w:color w:val="003300"/>
          <w:szCs w:val="24"/>
        </w:rPr>
      </w:pPr>
      <w:hyperlink r:id="rId11" w:tooltip="17/03/2021 : TVA - Simplification des obligations en matière de droit à déduction de la TVA sur la production ou la livraison d'immeubles" w:history="1">
        <w:r w:rsidRPr="007A5811">
          <w:rPr>
            <w:rStyle w:val="Lienhypertexte"/>
            <w:rFonts w:cs="Times"/>
            <w:szCs w:val="24"/>
          </w:rPr>
          <w:t>17/03/2021 : TVA - Simplification des obligations en matière de droit à déduction de la TVA sur la production ou la livraison d'immeubles</w:t>
        </w:r>
      </w:hyperlink>
    </w:p>
    <w:p w14:paraId="0A2686F6" w14:textId="41CD0CD1" w:rsidR="00C2403C" w:rsidRDefault="00C2403C" w:rsidP="00C2403C">
      <w:pPr>
        <w:spacing w:before="120" w:after="0" w:line="240" w:lineRule="auto"/>
        <w:rPr>
          <w:rFonts w:cs="Times"/>
          <w:color w:val="003300"/>
          <w:szCs w:val="24"/>
        </w:rPr>
      </w:pPr>
      <w:r>
        <w:rPr>
          <w:rFonts w:cs="Times"/>
          <w:color w:val="003300"/>
          <w:szCs w:val="24"/>
          <w:u w:val="single"/>
        </w:rPr>
        <w:t>TVA sur acompte</w:t>
      </w:r>
      <w:r w:rsidRPr="006B1429">
        <w:rPr>
          <w:rFonts w:cs="Times"/>
          <w:color w:val="003300"/>
          <w:szCs w:val="24"/>
          <w:u w:val="single"/>
        </w:rPr>
        <w:t>–</w:t>
      </w:r>
      <w:r>
        <w:rPr>
          <w:rFonts w:cs="Times"/>
          <w:color w:val="003300"/>
          <w:szCs w:val="24"/>
        </w:rPr>
        <w:t xml:space="preserve"> A </w:t>
      </w:r>
      <w:r>
        <w:rPr>
          <w:rFonts w:cs="Times"/>
          <w:color w:val="003300"/>
          <w:szCs w:val="24"/>
        </w:rPr>
        <w:t>verser seulement si la prestation est réalisée ou si sa réalisation n’est pas certaine. Ce qui vaut tout spécialement pour les opérations immobilières (obtention d’un permis de construire).</w:t>
      </w:r>
    </w:p>
    <w:p w14:paraId="72717F5F" w14:textId="7DC55494" w:rsidR="00C2403C" w:rsidRDefault="00C2403C" w:rsidP="00C2403C">
      <w:pPr>
        <w:spacing w:before="120" w:after="0" w:line="240" w:lineRule="auto"/>
        <w:ind w:left="567"/>
        <w:rPr>
          <w:rFonts w:cs="Times"/>
          <w:color w:val="003300"/>
          <w:szCs w:val="24"/>
        </w:rPr>
      </w:pPr>
      <w:hyperlink r:id="rId12" w:history="1">
        <w:r w:rsidRPr="00C2403C">
          <w:rPr>
            <w:rStyle w:val="Lienhypertexte"/>
            <w:rFonts w:cs="Times"/>
            <w:szCs w:val="24"/>
          </w:rPr>
          <w:t>Conseil d’Etat , n° 429647</w:t>
        </w:r>
      </w:hyperlink>
      <w:r>
        <w:rPr>
          <w:rFonts w:cs="Times"/>
          <w:color w:val="003300"/>
          <w:szCs w:val="24"/>
        </w:rPr>
        <w:t xml:space="preserve"> du 4/2/2021</w:t>
      </w:r>
    </w:p>
    <w:p w14:paraId="6CE58C92" w14:textId="277C55C5"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6999543A" w14:textId="42FED9A2" w:rsidR="00CB4970" w:rsidRDefault="00CB4970" w:rsidP="00CB4970">
      <w:pPr>
        <w:spacing w:before="120" w:after="0" w:line="240" w:lineRule="auto"/>
        <w:rPr>
          <w:rFonts w:cs="Times"/>
          <w:color w:val="003300"/>
          <w:szCs w:val="24"/>
        </w:rPr>
      </w:pPr>
      <w:r>
        <w:rPr>
          <w:rFonts w:cs="Times"/>
          <w:color w:val="003300"/>
          <w:szCs w:val="24"/>
          <w:u w:val="single"/>
        </w:rPr>
        <w:t>Taxe foncière et bail solidaire</w:t>
      </w:r>
      <w:r w:rsidRPr="006B1429">
        <w:rPr>
          <w:rFonts w:cs="Times"/>
          <w:color w:val="003300"/>
          <w:szCs w:val="24"/>
          <w:u w:val="single"/>
        </w:rPr>
        <w:t xml:space="preserve"> –</w:t>
      </w:r>
      <w:r>
        <w:rPr>
          <w:rFonts w:cs="Times"/>
          <w:color w:val="003300"/>
          <w:szCs w:val="24"/>
        </w:rPr>
        <w:t xml:space="preserve"> </w:t>
      </w:r>
      <w:r>
        <w:rPr>
          <w:rFonts w:cs="Times"/>
          <w:color w:val="003300"/>
          <w:szCs w:val="24"/>
        </w:rPr>
        <w:t>Incitations fiscales, encore.</w:t>
      </w:r>
    </w:p>
    <w:p w14:paraId="6EB49D7E" w14:textId="45EFFC22" w:rsidR="00CB4970" w:rsidRDefault="00CB4970" w:rsidP="00CB4970">
      <w:pPr>
        <w:spacing w:before="120" w:after="0" w:line="240" w:lineRule="auto"/>
        <w:ind w:left="567"/>
        <w:rPr>
          <w:rFonts w:cs="Times"/>
          <w:color w:val="003300"/>
          <w:szCs w:val="24"/>
        </w:rPr>
      </w:pPr>
      <w:hyperlink r:id="rId13" w:tooltip="30/03/2021 : IF - TFB - Modulation du taux de l'abattement sur la base d'imposition de la taxe foncière sur les propriétés bâties en faveur des logements faisant l'objet d'un bail réel solidaire (loi n° 2020-1721 du 29 décembre 2020 de finances pour 2021, art. 128) " w:history="1">
        <w:r w:rsidRPr="00CB4970">
          <w:rPr>
            <w:rStyle w:val="Lienhypertexte"/>
            <w:rFonts w:cs="Times"/>
            <w:szCs w:val="24"/>
          </w:rPr>
          <w:t>30/03/2021 : IF - TFB - Modulation du taux de l'abattement sur la base d'imposition de la taxe foncière sur les propriétés bâties en faveur des logements faisant l'objet d'un bail réel solidaire (loi n° 2020-1721 du 29 décembre 2020 de finances pour 2021, art. 128)</w:t>
        </w:r>
      </w:hyperlink>
    </w:p>
    <w:p w14:paraId="4324D71E" w14:textId="7149A614" w:rsidR="00CB4970" w:rsidRDefault="00CB4970" w:rsidP="00CB4970">
      <w:pPr>
        <w:spacing w:before="120" w:after="0" w:line="240" w:lineRule="auto"/>
        <w:rPr>
          <w:rFonts w:cs="Times"/>
          <w:color w:val="003300"/>
          <w:szCs w:val="24"/>
        </w:rPr>
      </w:pPr>
      <w:r>
        <w:rPr>
          <w:rFonts w:cs="Times"/>
          <w:color w:val="003300"/>
          <w:szCs w:val="24"/>
          <w:u w:val="single"/>
        </w:rPr>
        <w:t>CVAE</w:t>
      </w:r>
      <w:r w:rsidRPr="006B1429">
        <w:rPr>
          <w:rFonts w:cs="Times"/>
          <w:color w:val="003300"/>
          <w:szCs w:val="24"/>
          <w:u w:val="single"/>
        </w:rPr>
        <w:t xml:space="preserve"> –</w:t>
      </w:r>
      <w:r>
        <w:rPr>
          <w:rFonts w:cs="Times"/>
          <w:color w:val="003300"/>
          <w:szCs w:val="24"/>
        </w:rPr>
        <w:t xml:space="preserve"> </w:t>
      </w:r>
      <w:r w:rsidR="007A5811">
        <w:rPr>
          <w:rFonts w:cs="Times"/>
          <w:color w:val="003300"/>
          <w:szCs w:val="24"/>
        </w:rPr>
        <w:t>Le résultat provenant de l’indemnisation des biens de retour en fin de délégation de servie public n’tant pas habituel, il n’est pas soumis à la CVAE.</w:t>
      </w:r>
    </w:p>
    <w:p w14:paraId="31755350" w14:textId="6BD5760D" w:rsidR="007A5811" w:rsidRPr="003C5765" w:rsidRDefault="007A5811" w:rsidP="007A5811">
      <w:pPr>
        <w:spacing w:before="120" w:after="0" w:line="240" w:lineRule="auto"/>
        <w:ind w:left="567"/>
        <w:rPr>
          <w:rFonts w:cs="Times"/>
          <w:color w:val="003300"/>
          <w:spacing w:val="-6"/>
          <w:szCs w:val="24"/>
        </w:rPr>
      </w:pPr>
      <w:hyperlink r:id="rId14" w:tooltip="24/03/2021 : CVAE - Délégation de service public - Traitement fiscal de l’indemnité de remise de biens de retour non amortis perçue par un délégataire et versée par le délégant - Rescrit" w:history="1">
        <w:r w:rsidRPr="003C5765">
          <w:rPr>
            <w:rStyle w:val="Lienhypertexte"/>
            <w:rFonts w:cs="Times"/>
            <w:spacing w:val="-6"/>
            <w:szCs w:val="24"/>
          </w:rPr>
          <w:t>24/03/2021 : CVAE - Délégation de service public - Traitement fiscal de l’indemnité de remise de biens de retour non amortis perçue par un délégataire et versée par le délégant - Rescrit</w:t>
        </w:r>
      </w:hyperlink>
    </w:p>
    <w:p w14:paraId="0C3E1935" w14:textId="75C1D814" w:rsidR="00064C94" w:rsidRDefault="00064C94" w:rsidP="00EC3CD6">
      <w:pPr>
        <w:spacing w:before="120" w:after="0" w:line="240" w:lineRule="auto"/>
        <w:rPr>
          <w:rFonts w:cs="Times"/>
          <w:b/>
          <w:szCs w:val="24"/>
        </w:rPr>
      </w:pPr>
      <w:r w:rsidRPr="006320BB">
        <w:rPr>
          <w:rFonts w:cs="Times"/>
          <w:b/>
          <w:szCs w:val="24"/>
        </w:rPr>
        <w:t>1.4</w:t>
      </w:r>
      <w:r w:rsidRPr="006320BB">
        <w:rPr>
          <w:rFonts w:cs="Times"/>
          <w:b/>
          <w:szCs w:val="24"/>
        </w:rPr>
        <w:tab/>
        <w:t>Taxes sur les salaires</w:t>
      </w:r>
    </w:p>
    <w:p w14:paraId="63413D24" w14:textId="77777777" w:rsidR="00AE2122" w:rsidRDefault="00AE2122" w:rsidP="00AE2122">
      <w:pPr>
        <w:spacing w:before="120" w:after="0" w:line="240" w:lineRule="auto"/>
        <w:rPr>
          <w:rFonts w:cs="Times"/>
          <w:color w:val="003300"/>
          <w:szCs w:val="24"/>
          <w:u w:val="single"/>
        </w:rPr>
      </w:pPr>
      <w:r>
        <w:rPr>
          <w:rFonts w:cs="Times"/>
          <w:color w:val="003300"/>
          <w:szCs w:val="24"/>
        </w:rPr>
        <w:t xml:space="preserve">Rien à </w:t>
      </w:r>
      <w:r w:rsidRPr="00052F47">
        <w:rPr>
          <w:rFonts w:cs="Times"/>
          <w:color w:val="003300"/>
          <w:szCs w:val="24"/>
        </w:rPr>
        <w:t>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55C17092" w14:textId="6CB3E58C" w:rsidR="00A262C4" w:rsidRDefault="003C5765" w:rsidP="003C5765">
      <w:pPr>
        <w:keepNext/>
        <w:spacing w:before="120" w:after="0" w:line="240" w:lineRule="auto"/>
        <w:rPr>
          <w:rFonts w:cs="Times"/>
          <w:color w:val="003300"/>
          <w:szCs w:val="24"/>
          <w:u w:val="single"/>
        </w:rPr>
      </w:pPr>
      <w:r>
        <w:rPr>
          <w:color w:val="003300"/>
        </w:rPr>
        <w:t>Rien à signaler</w:t>
      </w:r>
    </w:p>
    <w:p w14:paraId="6EAC44C1" w14:textId="77777777" w:rsidR="00862E2B" w:rsidRDefault="00862E2B" w:rsidP="002F416C">
      <w:pPr>
        <w:spacing w:before="120" w:after="0" w:line="240" w:lineRule="auto"/>
        <w:rPr>
          <w:rFonts w:cs="Times"/>
          <w:b/>
          <w:szCs w:val="24"/>
        </w:rPr>
      </w:pPr>
    </w:p>
    <w:p w14:paraId="20C76B2E" w14:textId="124A42BD" w:rsidR="00E935A2" w:rsidRPr="006320BB" w:rsidRDefault="00E935A2" w:rsidP="002F416C">
      <w:pPr>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2F416C">
      <w:pPr>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5745F9E1" w14:textId="1478FE1F" w:rsidR="00A262C4" w:rsidRDefault="00354BD0" w:rsidP="002F416C">
      <w:pPr>
        <w:spacing w:before="120" w:after="0" w:line="240" w:lineRule="auto"/>
        <w:rPr>
          <w:rFonts w:cs="Times"/>
          <w:color w:val="003300"/>
          <w:szCs w:val="24"/>
          <w:u w:val="single"/>
        </w:rPr>
      </w:pPr>
      <w:r>
        <w:rPr>
          <w:rFonts w:cs="Times"/>
          <w:color w:val="003300"/>
          <w:szCs w:val="24"/>
        </w:rPr>
        <w:t>Rien à signaler</w:t>
      </w:r>
    </w:p>
    <w:p w14:paraId="1E12E0B0" w14:textId="79088793" w:rsidR="00925661" w:rsidRDefault="00E935A2" w:rsidP="002F416C">
      <w:pPr>
        <w:spacing w:before="120" w:after="0" w:line="240" w:lineRule="auto"/>
        <w:rPr>
          <w:rFonts w:cs="Times"/>
          <w:b/>
          <w:szCs w:val="24"/>
        </w:rPr>
      </w:pPr>
      <w:r w:rsidRPr="006320BB">
        <w:rPr>
          <w:rFonts w:cs="Times"/>
          <w:b/>
          <w:szCs w:val="24"/>
        </w:rPr>
        <w:lastRenderedPageBreak/>
        <w:t>2.2</w:t>
      </w:r>
      <w:r w:rsidRPr="006320BB">
        <w:rPr>
          <w:rFonts w:cs="Times"/>
          <w:b/>
          <w:szCs w:val="24"/>
        </w:rPr>
        <w:tab/>
        <w:t>Comptabilité privée</w:t>
      </w:r>
    </w:p>
    <w:p w14:paraId="148EFCF7" w14:textId="457468B1" w:rsidR="00354BD0" w:rsidRDefault="00854D09" w:rsidP="00354BD0">
      <w:pPr>
        <w:spacing w:before="120" w:after="0" w:line="240" w:lineRule="auto"/>
        <w:rPr>
          <w:rFonts w:cs="Times"/>
          <w:color w:val="003300"/>
          <w:szCs w:val="24"/>
        </w:rPr>
      </w:pPr>
      <w:r w:rsidRPr="00854D09">
        <w:rPr>
          <w:rFonts w:cs="Times"/>
          <w:color w:val="003300"/>
          <w:szCs w:val="24"/>
          <w:u w:val="single"/>
        </w:rPr>
        <w:t>Renégociation d’emprunts</w:t>
      </w:r>
      <w:r>
        <w:rPr>
          <w:rFonts w:cs="Times"/>
          <w:color w:val="003300"/>
          <w:szCs w:val="24"/>
        </w:rPr>
        <w:t xml:space="preserve"> – Un vieux rappel : les intérêts du passé ne sont pas à comptabiliser en charges de l’avenir.</w:t>
      </w:r>
    </w:p>
    <w:tbl>
      <w:tblPr>
        <w:tblStyle w:val="Grilledutableau"/>
        <w:tblW w:w="836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6628"/>
      </w:tblGrid>
      <w:tr w:rsidR="00854D09" w14:paraId="60BED319" w14:textId="77777777" w:rsidTr="00854D09">
        <w:tc>
          <w:tcPr>
            <w:tcW w:w="1423" w:type="dxa"/>
          </w:tcPr>
          <w:p w14:paraId="27161E33" w14:textId="3500EEA9" w:rsidR="00854D09" w:rsidRDefault="00854D09" w:rsidP="00354BD0">
            <w:pPr>
              <w:spacing w:before="120" w:after="0" w:line="240" w:lineRule="auto"/>
              <w:rPr>
                <w:rFonts w:cs="Times"/>
                <w:color w:val="003300"/>
                <w:szCs w:val="24"/>
              </w:rPr>
            </w:pPr>
            <w:r>
              <w:rPr>
                <w:rFonts w:cs="Times"/>
                <w:color w:val="003300"/>
                <w:szCs w:val="24"/>
              </w:rPr>
              <w:object w:dxaOrig="1520" w:dyaOrig="987" w14:anchorId="41249C01">
                <v:shape id="_x0000_i1046" type="#_x0000_t75" style="width:76.2pt;height:49.2pt" o:ole="">
                  <v:imagedata r:id="rId15" o:title=""/>
                </v:shape>
                <o:OLEObject Type="Embed" ProgID="AcroExch.Document.DC" ShapeID="_x0000_i1046" DrawAspect="Icon" ObjectID="_1679058747" r:id="rId16"/>
              </w:object>
            </w:r>
          </w:p>
        </w:tc>
        <w:tc>
          <w:tcPr>
            <w:tcW w:w="6941" w:type="dxa"/>
          </w:tcPr>
          <w:p w14:paraId="169156E2" w14:textId="011393A2" w:rsidR="00854D09" w:rsidRPr="00854D09" w:rsidRDefault="00854D09" w:rsidP="00354BD0">
            <w:pPr>
              <w:spacing w:before="120" w:after="0" w:line="240" w:lineRule="auto"/>
              <w:rPr>
                <w:rFonts w:cs="Times"/>
                <w:color w:val="003300"/>
                <w:szCs w:val="24"/>
                <w:u w:val="single"/>
              </w:rPr>
            </w:pPr>
            <w:r w:rsidRPr="00854D09">
              <w:rPr>
                <w:color w:val="003300"/>
              </w:rPr>
              <w:t>EC 2020-34 - Renégociation d'emprunt - Report de paiement d’échéances - Capitalisation des intérêts - Nouveau tableau d’amortissement - Comptabilisation des intérêts non remboursés capitalisés</w:t>
            </w:r>
          </w:p>
        </w:tc>
      </w:tr>
    </w:tbl>
    <w:p w14:paraId="077EA3B3" w14:textId="21ADD93D"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12F1FF81" w14:textId="1829AFFC" w:rsidR="00E22A5E" w:rsidRDefault="00E22A5E" w:rsidP="00E22A5E">
      <w:pPr>
        <w:spacing w:before="120" w:after="0" w:line="240" w:lineRule="auto"/>
        <w:rPr>
          <w:rFonts w:cs="Times"/>
          <w:color w:val="003300"/>
          <w:szCs w:val="24"/>
        </w:rPr>
      </w:pPr>
      <w:r>
        <w:rPr>
          <w:rFonts w:cs="Times"/>
          <w:color w:val="003300"/>
          <w:szCs w:val="24"/>
          <w:u w:val="single"/>
        </w:rPr>
        <w:t>Le BOSS</w:t>
      </w:r>
      <w:r w:rsidRPr="006B1429">
        <w:rPr>
          <w:rFonts w:cs="Times"/>
          <w:color w:val="003300"/>
          <w:szCs w:val="24"/>
          <w:u w:val="single"/>
        </w:rPr>
        <w:t xml:space="preserve"> –</w:t>
      </w:r>
      <w:r>
        <w:rPr>
          <w:rFonts w:cs="Times"/>
          <w:color w:val="003300"/>
          <w:szCs w:val="24"/>
        </w:rPr>
        <w:t xml:space="preserve"> </w:t>
      </w:r>
      <w:r>
        <w:rPr>
          <w:rFonts w:cs="Times"/>
          <w:color w:val="003300"/>
          <w:szCs w:val="24"/>
        </w:rPr>
        <w:t>Pour Bulletin Officiel de la Sécurité Sociale. Mis en ligne.</w:t>
      </w:r>
    </w:p>
    <w:p w14:paraId="125112F1" w14:textId="582E37F1" w:rsidR="00E22A5E" w:rsidRDefault="00E22A5E" w:rsidP="00C2403C">
      <w:pPr>
        <w:spacing w:before="120" w:after="0" w:line="240" w:lineRule="auto"/>
        <w:ind w:left="567"/>
      </w:pPr>
      <w:hyperlink r:id="rId17" w:history="1">
        <w:r>
          <w:rPr>
            <w:rStyle w:val="Lienhypertexte"/>
          </w:rPr>
          <w:t>Actualités - Boss.gouv.fr</w:t>
        </w:r>
      </w:hyperlink>
    </w:p>
    <w:p w14:paraId="27A6F325" w14:textId="59025AB3" w:rsidR="00C2403C" w:rsidRDefault="00C2403C" w:rsidP="00C2403C">
      <w:pPr>
        <w:spacing w:before="120" w:after="0" w:line="240" w:lineRule="auto"/>
        <w:rPr>
          <w:rFonts w:cs="Times"/>
          <w:color w:val="003300"/>
          <w:szCs w:val="24"/>
        </w:rPr>
      </w:pPr>
      <w:r>
        <w:rPr>
          <w:rFonts w:cs="Times"/>
          <w:color w:val="003300"/>
          <w:szCs w:val="24"/>
          <w:u w:val="single"/>
        </w:rPr>
        <w:t>Le Virus</w:t>
      </w:r>
      <w:r w:rsidRPr="006B1429">
        <w:rPr>
          <w:rFonts w:cs="Times"/>
          <w:color w:val="003300"/>
          <w:szCs w:val="24"/>
          <w:u w:val="single"/>
        </w:rPr>
        <w:t xml:space="preserve"> –</w:t>
      </w:r>
      <w:r>
        <w:rPr>
          <w:rFonts w:cs="Times"/>
          <w:color w:val="003300"/>
          <w:szCs w:val="24"/>
        </w:rPr>
        <w:t xml:space="preserve"> </w:t>
      </w:r>
      <w:r>
        <w:rPr>
          <w:rFonts w:cs="Times"/>
          <w:color w:val="003300"/>
          <w:szCs w:val="24"/>
        </w:rPr>
        <w:t>Tenue des organes des entreprises à distance encore pour cette année.</w:t>
      </w:r>
    </w:p>
    <w:p w14:paraId="1CFB6107" w14:textId="46EC6197" w:rsidR="00C2403C" w:rsidRDefault="00C2403C" w:rsidP="00C2403C">
      <w:pPr>
        <w:spacing w:before="120" w:after="0" w:line="240" w:lineRule="auto"/>
        <w:ind w:left="567"/>
        <w:rPr>
          <w:color w:val="003300"/>
        </w:rPr>
      </w:pPr>
      <w:hyperlink r:id="rId18" w:history="1">
        <w:r w:rsidRPr="00C2403C">
          <w:rPr>
            <w:rStyle w:val="Lienhypertexte"/>
          </w:rPr>
          <w:t>Or</w:t>
        </w:r>
        <w:r w:rsidRPr="00C2403C">
          <w:rPr>
            <w:rStyle w:val="Lienhypertexte"/>
          </w:rPr>
          <w:t>donnance n° 2020-321</w:t>
        </w:r>
      </w:hyperlink>
      <w:r w:rsidRPr="00C2403C">
        <w:rPr>
          <w:color w:val="003300"/>
        </w:rPr>
        <w:t xml:space="preserve"> du 25 mars 2020 portant adaptation des règles de réunion et de délibération des assemblées et organes dirigeants des personnes morales et entités dépourvues de personnalité morale de droit privé en raison de l'épidémie de covid-19</w:t>
      </w:r>
    </w:p>
    <w:p w14:paraId="4F8A6BB8" w14:textId="36B3DAC1" w:rsidR="00C2403C" w:rsidRPr="00C2403C" w:rsidRDefault="00C2403C" w:rsidP="00C2403C">
      <w:pPr>
        <w:spacing w:before="120" w:after="0" w:line="240" w:lineRule="auto"/>
        <w:ind w:left="567"/>
        <w:rPr>
          <w:color w:val="003300"/>
        </w:rPr>
      </w:pPr>
      <w:hyperlink r:id="rId19" w:history="1">
        <w:r w:rsidRPr="00C2403C">
          <w:rPr>
            <w:rStyle w:val="Lienhypertexte"/>
          </w:rPr>
          <w:t>Décret n° 2020-418</w:t>
        </w:r>
      </w:hyperlink>
      <w:r w:rsidRPr="00C2403C">
        <w:rPr>
          <w:color w:val="003300"/>
        </w:rPr>
        <w:t xml:space="preserve"> du 10 avril 2020 portant adaptation des règles de réunion et de délibération des assemblées et organes dirigeants des personnes morales et entités dépourvues de personnalité morale de droit privé en raison de l'épidémie de covid-19</w:t>
      </w:r>
    </w:p>
    <w:p w14:paraId="17D13BC7" w14:textId="1CE1D5C2" w:rsidR="00E935A2" w:rsidRDefault="00AB002C" w:rsidP="006320B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7D8FA61C" w14:textId="3BB81DF9" w:rsidR="00862E2B" w:rsidRDefault="003C5765" w:rsidP="00831AB8">
      <w:pPr>
        <w:keepNext/>
        <w:spacing w:before="120" w:after="0" w:line="240" w:lineRule="auto"/>
        <w:rPr>
          <w:rFonts w:cs="Times"/>
          <w:color w:val="003300"/>
          <w:szCs w:val="24"/>
          <w:u w:val="single"/>
        </w:rPr>
      </w:pPr>
      <w:r>
        <w:rPr>
          <w:color w:val="003300"/>
        </w:rPr>
        <w:t>Rien à signaler</w:t>
      </w:r>
    </w:p>
    <w:p w14:paraId="7D92344F" w14:textId="61D683EB" w:rsidR="00331173" w:rsidRDefault="00331173" w:rsidP="00831AB8">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7965E87B" w14:textId="762A4CAC" w:rsidR="00862E2B" w:rsidRDefault="003C5765" w:rsidP="003C5765">
      <w:pPr>
        <w:keepNext/>
        <w:spacing w:before="120" w:after="0" w:line="240" w:lineRule="auto"/>
        <w:rPr>
          <w:rFonts w:cs="Times"/>
          <w:color w:val="003300"/>
          <w:szCs w:val="24"/>
          <w:u w:val="single"/>
        </w:rPr>
      </w:pPr>
      <w:r>
        <w:rPr>
          <w:color w:val="003300"/>
        </w:rPr>
        <w:t>Rien à signaler</w:t>
      </w:r>
    </w:p>
    <w:p w14:paraId="752B38A1" w14:textId="0AE474EA" w:rsidR="001F3614" w:rsidRDefault="001F3614" w:rsidP="006320B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785B861" w14:textId="2DF61E42" w:rsidR="00AE2122" w:rsidRDefault="003C5765" w:rsidP="00AE2122">
      <w:pPr>
        <w:spacing w:before="120" w:after="0" w:line="240" w:lineRule="auto"/>
        <w:rPr>
          <w:rFonts w:cs="Times"/>
          <w:color w:val="003300"/>
          <w:szCs w:val="24"/>
        </w:rPr>
      </w:pPr>
      <w:r w:rsidRPr="003C5765">
        <w:rPr>
          <w:rFonts w:cs="Times"/>
          <w:color w:val="003300"/>
          <w:szCs w:val="24"/>
          <w:u w:val="single"/>
        </w:rPr>
        <w:t>Les données financières des syndicats</w:t>
      </w:r>
      <w:r>
        <w:rPr>
          <w:rFonts w:cs="Times"/>
          <w:color w:val="003300"/>
          <w:szCs w:val="24"/>
        </w:rPr>
        <w:t xml:space="preserve"> – 20 Milliards en 2020.</w:t>
      </w:r>
    </w:p>
    <w:p w14:paraId="55F3895D" w14:textId="684B1E9C" w:rsidR="003C5765" w:rsidRPr="003C5765" w:rsidRDefault="003C5765" w:rsidP="003C5765">
      <w:pPr>
        <w:spacing w:before="120" w:after="0" w:line="240" w:lineRule="auto"/>
        <w:ind w:left="567"/>
        <w:rPr>
          <w:rFonts w:cs="Times"/>
          <w:color w:val="003300"/>
          <w:szCs w:val="24"/>
        </w:rPr>
      </w:pPr>
      <w:hyperlink r:id="rId20" w:history="1">
        <w:r w:rsidRPr="003C5765">
          <w:rPr>
            <w:rStyle w:val="Lienhypertexte"/>
            <w:rFonts w:cs="Times"/>
            <w:szCs w:val="24"/>
          </w:rPr>
          <w:t>Les fiches des syndicats</w:t>
        </w:r>
      </w:hyperlink>
    </w:p>
    <w:p w14:paraId="0FF20FE3" w14:textId="77777777" w:rsidR="003C5765" w:rsidRDefault="003C5765" w:rsidP="00AE2122">
      <w:pPr>
        <w:spacing w:before="120" w:after="0" w:line="240" w:lineRule="auto"/>
        <w:rPr>
          <w:rFonts w:cs="Times"/>
          <w:color w:val="003300"/>
          <w:szCs w:val="24"/>
          <w:u w:val="single"/>
        </w:rPr>
      </w:pPr>
    </w:p>
    <w:p w14:paraId="02ADFB13" w14:textId="77777777" w:rsidR="00AE2122" w:rsidRDefault="00AE2122" w:rsidP="006320BB">
      <w:pPr>
        <w:spacing w:before="120" w:after="0" w:line="240" w:lineRule="auto"/>
        <w:rPr>
          <w:rFonts w:cs="Times"/>
          <w:b/>
          <w:szCs w:val="24"/>
        </w:rPr>
      </w:pPr>
    </w:p>
    <w:p w14:paraId="48C5B747" w14:textId="77777777" w:rsidR="00A57E3D" w:rsidRDefault="00A57E3D" w:rsidP="00FA1646">
      <w:pPr>
        <w:spacing w:before="120" w:after="120" w:line="240" w:lineRule="auto"/>
        <w:jc w:val="center"/>
        <w:rPr>
          <w:rFonts w:cs="Times"/>
          <w:color w:val="003300"/>
          <w:szCs w:val="24"/>
          <w:u w:val="single"/>
        </w:rPr>
      </w:pPr>
    </w:p>
    <w:p w14:paraId="2649CADA" w14:textId="27D38F79" w:rsidR="0012059E" w:rsidRDefault="00450519" w:rsidP="00FA1646">
      <w:pPr>
        <w:spacing w:before="120" w:after="120" w:line="240" w:lineRule="auto"/>
        <w:jc w:val="center"/>
        <w:rPr>
          <w:rFonts w:ascii="Times New Roman" w:hAnsi="Times New Roman"/>
          <w:b/>
          <w:szCs w:val="24"/>
        </w:rPr>
      </w:pPr>
      <w:r>
        <w:rPr>
          <w:b/>
          <w:szCs w:val="24"/>
        </w:rPr>
        <w:br w:type="page"/>
      </w:r>
      <w:r w:rsidR="00BC38F3"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4B397FB6"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1" w:tooltip="31/03/2021 : BA - Abaissement de cinq à trois du coefficient multiplicateur appliqué aux recettes provenant d'opérations d'élevage ou de culture portant sur des animaux ou des produits appartenant à des tiers (loi n° 2020-1721 du 29 décembre 2020 de finances pour 2021, art.11)" w:history="1">
        <w:r w:rsidRPr="00CB4970">
          <w:rPr>
            <w:rStyle w:val="Lienhypertexte"/>
            <w:rFonts w:ascii="Open Sans" w:hAnsi="Open Sans" w:cs="Open Sans"/>
            <w:sz w:val="20"/>
            <w:szCs w:val="20"/>
          </w:rPr>
          <w:t>31/03/2021 : BA - Abaissement de cinq à trois du coefficient multiplicateur appliqué aux recettes provenant d'opérations d'élevage ou de culture portant sur des animaux ou des produits appartenant à des tiers (loi n° 2020-1721 du 29 décembre 2020 de finances pour 2021, art.11)</w:t>
        </w:r>
      </w:hyperlink>
    </w:p>
    <w:p w14:paraId="77E54859"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2" w:tooltip="31/03/2021 : IS - Prorogation et modification du régime des plus-values de cession de locaux professionnels transformés en logements ou de terrains à bâtir sur lesquels sont construits des logements (loi n° 2020-1721 du 29 décembre 2020 de finances pour 2021, art. 17 et 25)" w:history="1">
        <w:r w:rsidRPr="00CB4970">
          <w:rPr>
            <w:rStyle w:val="Lienhypertexte"/>
            <w:rFonts w:ascii="Open Sans" w:hAnsi="Open Sans" w:cs="Open Sans"/>
            <w:sz w:val="20"/>
            <w:szCs w:val="20"/>
          </w:rPr>
          <w:t>31/03/2021 : IS - Prorogation et modification du régime des plus-values de cession de locaux professionnels transformés en logements ou de terrains à bâtir sur lesquels sont construits des logements (loi n° 2020-1721 du 29 décembre 2020 de finances pour 2021, art. 17 et 25)</w:t>
        </w:r>
      </w:hyperlink>
    </w:p>
    <w:p w14:paraId="3215795E"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3" w:tooltip="31/03/2021 : TCA - Régime fiscal des casinos - Prélèvements opérés sur le produit brut des jeux " w:history="1">
        <w:r w:rsidRPr="00CB4970">
          <w:rPr>
            <w:rStyle w:val="Lienhypertexte"/>
            <w:rFonts w:ascii="Open Sans" w:hAnsi="Open Sans" w:cs="Open Sans"/>
            <w:sz w:val="20"/>
            <w:szCs w:val="20"/>
          </w:rPr>
          <w:t>31/03/2021 : TCA - Régime fiscal des casinos - Prélèvements opérés sur le produit brut des jeux</w:t>
        </w:r>
      </w:hyperlink>
    </w:p>
    <w:p w14:paraId="7CDDC883"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4" w:tooltip="30/03/2021 : IR - Indexation du barème et des seuils et limites associés au titre de l'imposition des revenus de l'année 2020 et ajustement des limites des grilles de taux par défaut du prélèvement à la source applicables à compter du 1er janvier 2021 (loi n° 2020-1721 du 29 décembre 2020 de finances pour 2021, art. 2)" w:history="1">
        <w:r w:rsidRPr="00CB4970">
          <w:rPr>
            <w:rStyle w:val="Lienhypertexte"/>
            <w:rFonts w:ascii="Open Sans" w:hAnsi="Open Sans" w:cs="Open Sans"/>
            <w:sz w:val="20"/>
            <w:szCs w:val="20"/>
          </w:rPr>
          <w:t>30/03/2021 : IR - Indexation du barème et des seuils et limites associés au titre de l'imposition des revenus de l'année 2020 et ajustement des limites des grilles de taux par défaut du prélèvement à la source applicables à compter du 1er janvier 2021 (loi n° 2020-1721 du 29 décembre 2020 de finances pour 2021, art. 2)</w:t>
        </w:r>
      </w:hyperlink>
    </w:p>
    <w:p w14:paraId="636240B9"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5" w:tooltip="30/03/2021 : IF - TFB - Modulation du taux de l'abattement sur la base d'imposition de la taxe foncière sur les propriétés bâties en faveur des logements faisant l'objet d'un bail réel solidaire (loi n° 2020-1721 du 29 décembre 2020 de finances pour 2021, art. 128) " w:history="1">
        <w:r w:rsidRPr="00CB4970">
          <w:rPr>
            <w:rStyle w:val="Lienhypertexte"/>
            <w:rFonts w:ascii="Open Sans" w:hAnsi="Open Sans" w:cs="Open Sans"/>
            <w:sz w:val="20"/>
            <w:szCs w:val="20"/>
          </w:rPr>
          <w:t>30/03/2021 : IF - TFB - Modulation du taux de l'abattement sur la base d'imposition de la taxe foncière sur les propriétés bâties en faveur des logements faisant l'objet d'un bail réel solidaire (loi n° 2020-1721 du 29 décembre 2020 de finances pour 2021, art. 128)</w:t>
        </w:r>
      </w:hyperlink>
    </w:p>
    <w:p w14:paraId="4B59F237"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6" w:tooltip="24/03/2021 :  RSA - BA - BIC - BNC (sous conditions) - Frais de carburant en euro au kilomètre - Barèmes applicables pour 2020" w:history="1">
        <w:r w:rsidRPr="00CB4970">
          <w:rPr>
            <w:rStyle w:val="Lienhypertexte"/>
            <w:rFonts w:ascii="Open Sans" w:hAnsi="Open Sans" w:cs="Open Sans"/>
            <w:sz w:val="20"/>
            <w:szCs w:val="20"/>
          </w:rPr>
          <w:t>24/03/2021 : RSA - BA - BIC - BNC (sous conditions) - Frais de carburant en euro au kilomètre - Barèmes applicables pour 2020</w:t>
        </w:r>
      </w:hyperlink>
    </w:p>
    <w:p w14:paraId="54AE0F3B"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7" w:tooltip="24/03/2021 : IF - TFNB - Dégrèvement de taxe foncière en faveur des propriétés non bâties situées dans le périmètre d'une association foncière pastorale - Prolongation de trois années du bénéfice du dégrèvement (loi n° 2020-1721 du 29 décembre 2020 de finances pour 2021, art. 104)" w:history="1">
        <w:r w:rsidRPr="00CB4970">
          <w:rPr>
            <w:rStyle w:val="Lienhypertexte"/>
            <w:rFonts w:ascii="Open Sans" w:hAnsi="Open Sans" w:cs="Open Sans"/>
            <w:sz w:val="20"/>
            <w:szCs w:val="20"/>
          </w:rPr>
          <w:t>24/03/2021 : IF - TFNB - Dégrèvement de taxe foncière en faveur des propriétés non bâties situées dans le périmètre d'une association foncière pastorale - Prolongation de trois années du bénéfice du dégrèvement (loi n° 2020-1721 du 29 décembre 2020 de finances pour 2021, art. 104)</w:t>
        </w:r>
      </w:hyperlink>
    </w:p>
    <w:p w14:paraId="348B2FD0"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8" w:tooltip="24/03/2021 : ENR - Institution d'une dispense de formalité d'enregistrement pour les actes de concessions perpétuelles dans les cimetières (loi n° 2019-1479 du 28 décembre 2019 de finances pour 2020, art. 21, I-8°)" w:history="1">
        <w:r w:rsidRPr="00CB4970">
          <w:rPr>
            <w:rStyle w:val="Lienhypertexte"/>
            <w:rFonts w:ascii="Open Sans" w:hAnsi="Open Sans" w:cs="Open Sans"/>
            <w:sz w:val="20"/>
            <w:szCs w:val="20"/>
          </w:rPr>
          <w:t>24/03/2021 : ENR - Institution d'une dispense de formalité d'enregistrement pour les actes de concessions perpétuelles dans les cimetières (loi n° 2019-1479 du 28 décembre 2019 de finances pour 2020, art. 21, I-8°)</w:t>
        </w:r>
      </w:hyperlink>
    </w:p>
    <w:p w14:paraId="5AB60F2F"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29" w:tooltip="24/03/2021 : BIC - Prise en compte des cotisations sociales obligatoires dans l'assiette du crédit d'impôt en faveur des métiers d'art - Rescrit" w:history="1">
        <w:r w:rsidRPr="00CB4970">
          <w:rPr>
            <w:rStyle w:val="Lienhypertexte"/>
            <w:rFonts w:ascii="Open Sans" w:hAnsi="Open Sans" w:cs="Open Sans"/>
            <w:sz w:val="20"/>
            <w:szCs w:val="20"/>
          </w:rPr>
          <w:t>24/03/2021 : BIC - Prise en compte des cotisations sociales obligatoires dans l'assiette du crédit d'impôt en faveur des métiers d'art - Rescrit</w:t>
        </w:r>
      </w:hyperlink>
    </w:p>
    <w:p w14:paraId="15716900"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0" w:tooltip="24/03/2021 : IS - Acquisition de titres d’une société le premier jour de l’exercice de la société acquéreuse - Rescrit" w:history="1">
        <w:r w:rsidRPr="00CB4970">
          <w:rPr>
            <w:rStyle w:val="Lienhypertexte"/>
            <w:rFonts w:ascii="Open Sans" w:hAnsi="Open Sans" w:cs="Open Sans"/>
            <w:sz w:val="20"/>
            <w:szCs w:val="20"/>
          </w:rPr>
          <w:t>24/03/2021 : IS - Acquisition de titres d’une société le premier jour de l’exercice de la société acquéreuse - Rescrit</w:t>
        </w:r>
      </w:hyperlink>
    </w:p>
    <w:p w14:paraId="3AD5E032"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1" w:tooltip="24/03/2021 : CVAE - Délégation de service public - Traitement fiscal de l’indemnité de remise de biens de retour non amortis perçue par un délégataire et versée par le délégant - Rescrit" w:history="1">
        <w:r w:rsidRPr="00CB4970">
          <w:rPr>
            <w:rStyle w:val="Lienhypertexte"/>
            <w:rFonts w:ascii="Open Sans" w:hAnsi="Open Sans" w:cs="Open Sans"/>
            <w:sz w:val="20"/>
            <w:szCs w:val="20"/>
          </w:rPr>
          <w:t>24/03/2021 : CVAE - Délégation de service public - Traitement fiscal de l’indemnité de remise de biens de retour non amortis perçue par un délégataire et versée par le délégant - Rescrit</w:t>
        </w:r>
      </w:hyperlink>
    </w:p>
    <w:p w14:paraId="3A06A4AC"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2" w:tooltip="17/03/2021 : TVA - Simplification des obligations en matière de droit à déduction de la TVA sur la production ou la livraison d'immeubles" w:history="1">
        <w:r w:rsidRPr="00CB4970">
          <w:rPr>
            <w:rStyle w:val="Lienhypertexte"/>
            <w:rFonts w:ascii="Open Sans" w:hAnsi="Open Sans" w:cs="Open Sans"/>
            <w:sz w:val="20"/>
            <w:szCs w:val="20"/>
          </w:rPr>
          <w:t>17/03/2021 : TVA - Simplification des obligations en matière de droit à déduction de la TVA sur la production ou la livraison d'immeubles</w:t>
        </w:r>
      </w:hyperlink>
    </w:p>
    <w:p w14:paraId="2BE83167"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3" w:tooltip="11/03/2021 : IS - INT - RES - Sortie du Royaume-Uni de l'Union européenne (Brexit) - Publication urgente" w:history="1">
        <w:r w:rsidRPr="00CB4970">
          <w:rPr>
            <w:rStyle w:val="Lienhypertexte"/>
            <w:rFonts w:ascii="Open Sans" w:hAnsi="Open Sans" w:cs="Open Sans"/>
            <w:sz w:val="20"/>
            <w:szCs w:val="20"/>
          </w:rPr>
          <w:t>11/03/2021 : IS - INT - RES - Sortie du Royaume-Uni de l'Union européenne (Brexit) - Publication urgente</w:t>
        </w:r>
      </w:hyperlink>
    </w:p>
    <w:p w14:paraId="05BC0ADF"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4" w:tooltip="10/03/2021 : Prorogation du crédit d'impôt en faveur de l'agriculture biologique jusqu'en 2022, actualisation des références aux textes européens à compter du 1er janvier 2022 (loi n° 2020-1721 du 29 décembre 2020 de finances pour 2021, art. 150) et précisions sur le champ du dispositif" w:history="1">
        <w:r w:rsidRPr="00CB4970">
          <w:rPr>
            <w:rStyle w:val="Lienhypertexte"/>
            <w:rFonts w:ascii="Open Sans" w:hAnsi="Open Sans" w:cs="Open Sans"/>
            <w:sz w:val="20"/>
            <w:szCs w:val="20"/>
          </w:rPr>
          <w:t>10/03/2021 : Prorogation du crédit d'impôt en faveur de l'agriculture biologique jusqu'en 2022, actualisation des références aux textes européens à compter du 1er janvier 2022 (loi n° 2020-1721 du 29 décembre 2020 de finances pour 2021, art. 150) et précisions sur le champ du dispositif</w:t>
        </w:r>
      </w:hyperlink>
    </w:p>
    <w:p w14:paraId="19F9C74F"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5" w:tooltip="10/03/2021 : BIC - Crédit d'impôt au profit des établissements de crédit et des sociétés de financement qui octroient des prêts à taux zéro (PTZ+) permettant la première accession à la propriété des personnes physiques - Aménagements du dispositif (loi n° 2020-1721 du 29 décembre 2020 de finances pour 2021, art. 164)" w:history="1">
        <w:r w:rsidRPr="00CB4970">
          <w:rPr>
            <w:rStyle w:val="Lienhypertexte"/>
            <w:rFonts w:ascii="Open Sans" w:hAnsi="Open Sans" w:cs="Open Sans"/>
            <w:sz w:val="20"/>
            <w:szCs w:val="20"/>
          </w:rPr>
          <w:t>10/03/2021 : BIC - Crédit d'impôt au profit des établissements de crédit et des sociétés de financement qui octroient des prêts à taux zéro (PTZ+) permettant la première accession à la propriété des personnes physiques - Aménagements du dispositif (loi n° 2020-1721 du 29 décembre 2020 de finances pour 2021, art. 164)</w:t>
        </w:r>
      </w:hyperlink>
    </w:p>
    <w:p w14:paraId="1E5FE151" w14:textId="77777777" w:rsidR="00CB4970" w:rsidRPr="00CB4970" w:rsidRDefault="00CB4970" w:rsidP="00CB4970">
      <w:pPr>
        <w:pStyle w:val="NormalWeb"/>
        <w:shd w:val="clear" w:color="auto" w:fill="FFFFFF"/>
        <w:spacing w:before="0" w:after="150"/>
        <w:jc w:val="both"/>
        <w:rPr>
          <w:rFonts w:ascii="Open Sans" w:hAnsi="Open Sans" w:cs="Open Sans"/>
          <w:color w:val="333333"/>
          <w:sz w:val="20"/>
          <w:szCs w:val="20"/>
        </w:rPr>
      </w:pPr>
      <w:hyperlink r:id="rId36" w:tooltip="09/03/2021 : Mise à niveau formelle" w:history="1">
        <w:r w:rsidRPr="00CB4970">
          <w:rPr>
            <w:rStyle w:val="Lienhypertexte"/>
            <w:rFonts w:ascii="Open Sans" w:hAnsi="Open Sans" w:cs="Open Sans"/>
            <w:sz w:val="20"/>
            <w:szCs w:val="20"/>
          </w:rPr>
          <w:t>09/03/2021 : Mise à niveau formelle</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7"/>
      <w:headerReference w:type="first" r:id="rId38"/>
      <w:footerReference w:type="first" r:id="rId39"/>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B681C" w14:textId="77777777" w:rsidR="00564772" w:rsidRDefault="00564772">
      <w:r>
        <w:separator/>
      </w:r>
    </w:p>
  </w:endnote>
  <w:endnote w:type="continuationSeparator" w:id="0">
    <w:p w14:paraId="2DE42AD1" w14:textId="77777777" w:rsidR="00564772" w:rsidRDefault="0056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A28387CA-67B1-41C3-A491-CE44E562C033}"/>
    <w:embedBold r:id="rId2" w:fontKey="{954EFE75-66B8-4964-A0EE-86FDC72D7F8B}"/>
    <w:embedBoldItalic r:id="rId3" w:fontKey="{C4EB0A2D-3051-43CE-A185-0E31FDF6FB1D}"/>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F0A28BC6-74D8-4124-9A32-47815C6E3DF3}"/>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9005924C-C5FD-4806-8068-F52A2967E396}"/>
  </w:font>
  <w:font w:name="Open Sans">
    <w:panose1 w:val="020B0606030504020204"/>
    <w:charset w:val="00"/>
    <w:family w:val="swiss"/>
    <w:pitch w:val="variable"/>
    <w:sig w:usb0="E00002EF" w:usb1="4000205B" w:usb2="00000028" w:usb3="00000000" w:csb0="0000019F" w:csb1="00000000"/>
    <w:embedRegular r:id="rId6" w:fontKey="{7EC7A71B-552A-431A-A2A9-C3B60BCA4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16365" w14:textId="77777777" w:rsidR="00564772" w:rsidRDefault="00564772">
      <w:r>
        <w:separator/>
      </w:r>
    </w:p>
  </w:footnote>
  <w:footnote w:type="continuationSeparator" w:id="0">
    <w:p w14:paraId="6C6D462D" w14:textId="77777777" w:rsidR="00564772" w:rsidRDefault="00564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656EF8C4" w14:textId="4809B0C7" w:rsidR="00E72D0D" w:rsidRPr="00E35CBE" w:rsidRDefault="00564772" w:rsidP="00E35CBE">
          <w:pPr>
            <w:pStyle w:val="En-tte"/>
            <w:tabs>
              <w:tab w:val="clear" w:pos="4536"/>
            </w:tabs>
            <w:spacing w:before="0" w:after="0" w:line="240" w:lineRule="auto"/>
            <w:rPr>
              <w:sz w:val="20"/>
            </w:rPr>
          </w:pPr>
          <w:r>
            <w:fldChar w:fldCharType="begin"/>
          </w:r>
          <w:r>
            <w:instrText xml:space="preserve"> FILENAME   \* MERGEFORMAT </w:instrText>
          </w:r>
          <w:r>
            <w:fldChar w:fldCharType="separate"/>
          </w:r>
          <w:r w:rsidR="00B50478" w:rsidRPr="00B50478">
            <w:rPr>
              <w:noProof/>
              <w:sz w:val="20"/>
            </w:rPr>
            <w:t>Comptes-La revue -202</w:t>
          </w:r>
          <w:r w:rsidR="00A57E3D">
            <w:rPr>
              <w:noProof/>
              <w:sz w:val="20"/>
            </w:rPr>
            <w:t>1-0</w:t>
          </w:r>
          <w:r w:rsidR="00CB4970">
            <w:rPr>
              <w:noProof/>
              <w:sz w:val="20"/>
            </w:rPr>
            <w:t>3</w:t>
          </w:r>
          <w:r>
            <w:rPr>
              <w:noProof/>
              <w:sz w:val="20"/>
            </w:rPr>
            <w:fldChar w:fldCharType="end"/>
          </w:r>
        </w:p>
        <w:p w14:paraId="6D4A75FB" w14:textId="479049BE"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CB4970">
            <w:rPr>
              <w:sz w:val="20"/>
            </w:rPr>
            <w:t>4</w:t>
          </w:r>
          <w:r w:rsidR="00AE2122">
            <w:rPr>
              <w:sz w:val="20"/>
            </w:rPr>
            <w:t xml:space="preserve"> </w:t>
          </w:r>
          <w:r w:rsidR="00CB4970">
            <w:rPr>
              <w:sz w:val="20"/>
            </w:rPr>
            <w:t>avril</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r w:rsidRPr="00F5762B">
            <w:rPr>
              <w:color w:val="143300"/>
              <w:spacing w:val="16"/>
              <w:w w:val="97"/>
              <w:sz w:val="20"/>
            </w:rPr>
            <w:t>s.a.r.l.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46" type="#_x0000_t75" style="width:3in;height:3in" o:bullet="t"/>
    </w:pict>
  </w:numPicBullet>
  <w:numPicBullet w:numPicBulletId="1">
    <w:pict>
      <v:shape id="_x0000_i5247" type="#_x0000_t75" style="width:3in;height:3in" o:bullet="t"/>
    </w:pict>
  </w:numPicBullet>
  <w:numPicBullet w:numPicBulletId="2">
    <w:pict>
      <v:shape id="_x0000_i5248" type="#_x0000_t75" style="width:3in;height:3in" o:bullet="t"/>
    </w:pict>
  </w:numPicBullet>
  <w:numPicBullet w:numPicBulletId="3">
    <w:pict>
      <v:shape id="_x0000_i5249" type="#_x0000_t75" style="width:3in;height:3in" o:bullet="t"/>
    </w:pict>
  </w:numPicBullet>
  <w:numPicBullet w:numPicBulletId="4">
    <w:pict>
      <v:shape id="_x0000_i5250" type="#_x0000_t75" style="width:3in;height:3in" o:bullet="t"/>
    </w:pict>
  </w:numPicBullet>
  <w:numPicBullet w:numPicBulletId="5">
    <w:pict>
      <v:shape id="_x0000_i5251" type="#_x0000_t75" style="width:3in;height:3in" o:bullet="t"/>
    </w:pict>
  </w:numPicBullet>
  <w:numPicBullet w:numPicBulletId="6">
    <w:pict>
      <v:shape id="_x0000_i5252" type="#_x0000_t75" style="width:3in;height:3in" o:bullet="t"/>
    </w:pict>
  </w:numPicBullet>
  <w:numPicBullet w:numPicBulletId="7">
    <w:pict>
      <v:shape id="_x0000_i5253" type="#_x0000_t75" style="width:3in;height:3in" o:bullet="t"/>
    </w:pict>
  </w:numPicBullet>
  <w:numPicBullet w:numPicBulletId="8">
    <w:pict>
      <v:shape id="_x0000_i5254" type="#_x0000_t75" style="width:3in;height:3in" o:bullet="t"/>
    </w:pict>
  </w:numPicBullet>
  <w:numPicBullet w:numPicBulletId="9">
    <w:pict>
      <v:shape id="_x0000_i5255" type="#_x0000_t75" style="width:3in;height:3in" o:bullet="t"/>
    </w:pict>
  </w:numPicBullet>
  <w:numPicBullet w:numPicBulletId="10">
    <w:pict>
      <v:shape id="_x0000_i5256" type="#_x0000_t75" style="width:3in;height:3in" o:bullet="t"/>
    </w:pict>
  </w:numPicBullet>
  <w:numPicBullet w:numPicBulletId="11">
    <w:pict>
      <v:shape id="_x0000_i5257" type="#_x0000_t75" style="width:3in;height:3in" o:bullet="t"/>
    </w:pict>
  </w:numPicBullet>
  <w:numPicBullet w:numPicBulletId="12">
    <w:pict>
      <v:shape id="_x0000_i5258" type="#_x0000_t75" style="width:3in;height:3in" o:bullet="t"/>
    </w:pict>
  </w:numPicBullet>
  <w:numPicBullet w:numPicBulletId="13">
    <w:pict>
      <v:shape id="_x0000_i5259" type="#_x0000_t75" style="width:3in;height:3in" o:bullet="t"/>
    </w:pict>
  </w:numPicBullet>
  <w:numPicBullet w:numPicBulletId="14">
    <w:pict>
      <v:shape id="_x0000_i5260" type="#_x0000_t75" style="width:3in;height:3in" o:bullet="t"/>
    </w:pict>
  </w:numPicBullet>
  <w:numPicBullet w:numPicBulletId="15">
    <w:pict>
      <v:shape id="_x0000_i5261" type="#_x0000_t75" style="width:3in;height:3in" o:bullet="t"/>
    </w:pict>
  </w:numPicBullet>
  <w:numPicBullet w:numPicBulletId="16">
    <w:pict>
      <v:shape id="_x0000_i5262" type="#_x0000_t75" style="width:3in;height:3in" o:bullet="t"/>
    </w:pict>
  </w:numPicBullet>
  <w:numPicBullet w:numPicBulletId="17">
    <w:pict>
      <v:shape id="_x0000_i5263" type="#_x0000_t75" style="width:3in;height:3in" o:bullet="t"/>
    </w:pict>
  </w:numPicBullet>
  <w:numPicBullet w:numPicBulletId="18">
    <w:pict>
      <v:shape id="_x0000_i5264" type="#_x0000_t75" style="width:3in;height:3in" o:bullet="t"/>
    </w:pict>
  </w:numPicBullet>
  <w:numPicBullet w:numPicBulletId="19">
    <w:pict>
      <v:shape id="_x0000_i52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0"/>
  </w:num>
  <w:num w:numId="5">
    <w:abstractNumId w:val="24"/>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1"/>
  </w:num>
  <w:num w:numId="14">
    <w:abstractNumId w:val="22"/>
  </w:num>
  <w:num w:numId="15">
    <w:abstractNumId w:val="25"/>
  </w:num>
  <w:num w:numId="16">
    <w:abstractNumId w:val="2"/>
  </w:num>
  <w:num w:numId="17">
    <w:abstractNumId w:val="26"/>
  </w:num>
  <w:num w:numId="18">
    <w:abstractNumId w:val="17"/>
  </w:num>
  <w:num w:numId="19">
    <w:abstractNumId w:val="21"/>
  </w:num>
  <w:num w:numId="20">
    <w:abstractNumId w:val="23"/>
  </w:num>
  <w:num w:numId="21">
    <w:abstractNumId w:val="27"/>
  </w:num>
  <w:num w:numId="22">
    <w:abstractNumId w:val="29"/>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2"/>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B0DFA"/>
    <w:rsid w:val="002B278C"/>
    <w:rsid w:val="002B68E8"/>
    <w:rsid w:val="002B7698"/>
    <w:rsid w:val="002C0A4B"/>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61C3"/>
    <w:rsid w:val="003A6CB6"/>
    <w:rsid w:val="003A6CC6"/>
    <w:rsid w:val="003B01F9"/>
    <w:rsid w:val="003B0210"/>
    <w:rsid w:val="003B063C"/>
    <w:rsid w:val="003B0EC1"/>
    <w:rsid w:val="003B18B4"/>
    <w:rsid w:val="003B1F77"/>
    <w:rsid w:val="003B434F"/>
    <w:rsid w:val="003B5B6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EB"/>
    <w:rsid w:val="0042642B"/>
    <w:rsid w:val="00426620"/>
    <w:rsid w:val="004269B3"/>
    <w:rsid w:val="004270D6"/>
    <w:rsid w:val="004274B5"/>
    <w:rsid w:val="00427B66"/>
    <w:rsid w:val="00430F52"/>
    <w:rsid w:val="0043114C"/>
    <w:rsid w:val="004324DE"/>
    <w:rsid w:val="00432754"/>
    <w:rsid w:val="00432C69"/>
    <w:rsid w:val="00432F68"/>
    <w:rsid w:val="00433A4A"/>
    <w:rsid w:val="00434165"/>
    <w:rsid w:val="00434F5E"/>
    <w:rsid w:val="004353E9"/>
    <w:rsid w:val="0043628A"/>
    <w:rsid w:val="004378F6"/>
    <w:rsid w:val="004408BD"/>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610E"/>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C5"/>
    <w:rsid w:val="006B1A8E"/>
    <w:rsid w:val="006B1E5F"/>
    <w:rsid w:val="006B2F92"/>
    <w:rsid w:val="006B330D"/>
    <w:rsid w:val="006B430F"/>
    <w:rsid w:val="006B4B6C"/>
    <w:rsid w:val="006B5D13"/>
    <w:rsid w:val="006B62DB"/>
    <w:rsid w:val="006B71B9"/>
    <w:rsid w:val="006C1146"/>
    <w:rsid w:val="006C22F8"/>
    <w:rsid w:val="006C241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B31"/>
    <w:rsid w:val="007A0CFC"/>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32F8"/>
    <w:rsid w:val="00854432"/>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6EB9"/>
    <w:rsid w:val="00887193"/>
    <w:rsid w:val="00887E2A"/>
    <w:rsid w:val="00890109"/>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95E"/>
    <w:rsid w:val="00990B2C"/>
    <w:rsid w:val="00990E89"/>
    <w:rsid w:val="0099114A"/>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F77"/>
    <w:rsid w:val="00A030B3"/>
    <w:rsid w:val="00A04E89"/>
    <w:rsid w:val="00A04E9F"/>
    <w:rsid w:val="00A05CA0"/>
    <w:rsid w:val="00A07C5E"/>
    <w:rsid w:val="00A1006C"/>
    <w:rsid w:val="00A11F22"/>
    <w:rsid w:val="00A12A3B"/>
    <w:rsid w:val="00A12BE6"/>
    <w:rsid w:val="00A12FD7"/>
    <w:rsid w:val="00A15228"/>
    <w:rsid w:val="00A155D6"/>
    <w:rsid w:val="00A159D1"/>
    <w:rsid w:val="00A15B3A"/>
    <w:rsid w:val="00A163CC"/>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D174A"/>
    <w:rsid w:val="00BD253C"/>
    <w:rsid w:val="00BD3099"/>
    <w:rsid w:val="00BD3259"/>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3E9"/>
    <w:rsid w:val="00DC1D71"/>
    <w:rsid w:val="00DC2ED1"/>
    <w:rsid w:val="00DC3856"/>
    <w:rsid w:val="00DC4A35"/>
    <w:rsid w:val="00DC4DBE"/>
    <w:rsid w:val="00DC5692"/>
    <w:rsid w:val="00DC674C"/>
    <w:rsid w:val="00DC7059"/>
    <w:rsid w:val="00DC70CD"/>
    <w:rsid w:val="00DD1EDA"/>
    <w:rsid w:val="00DD2F49"/>
    <w:rsid w:val="00DD5C0C"/>
    <w:rsid w:val="00DD6235"/>
    <w:rsid w:val="00DD697F"/>
    <w:rsid w:val="00DD7C08"/>
    <w:rsid w:val="00DE0268"/>
    <w:rsid w:val="00DE0AE4"/>
    <w:rsid w:val="00DE186B"/>
    <w:rsid w:val="00DE1A14"/>
    <w:rsid w:val="00DE32B7"/>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19A"/>
    <w:rsid w:val="00E63EDE"/>
    <w:rsid w:val="00E6429B"/>
    <w:rsid w:val="00E65FB5"/>
    <w:rsid w:val="00E663F2"/>
    <w:rsid w:val="00E66407"/>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74"/>
    <w:rsid w:val="00FD0332"/>
    <w:rsid w:val="00FD03AC"/>
    <w:rsid w:val="00FD1E42"/>
    <w:rsid w:val="00FD241C"/>
    <w:rsid w:val="00FD2592"/>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2994-PGP.html/ACTU-2021-00141" TargetMode="External"/><Relationship Id="rId13" Type="http://schemas.openxmlformats.org/officeDocument/2006/relationships/hyperlink" Target="https://bofip.impots.gouv.fr/bofip/13007-PGP.html/ACTU-2021-00144" TargetMode="External"/><Relationship Id="rId18" Type="http://schemas.openxmlformats.org/officeDocument/2006/relationships/hyperlink" Target="https://www.legifrance.gouv.fr/loda/id/JORFTEXT000041755899/" TargetMode="External"/><Relationship Id="rId26" Type="http://schemas.openxmlformats.org/officeDocument/2006/relationships/hyperlink" Target="https://bofip.impots.gouv.fr/bofip/12912-PGP.html/ACTU-2021-00114"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ofip.impots.gouv.fr/bofip/13016-PGP.html/ACTU-2021-00147" TargetMode="External"/><Relationship Id="rId34" Type="http://schemas.openxmlformats.org/officeDocument/2006/relationships/hyperlink" Target="https://bofip.impots.gouv.fr/bofip/12918-PGP.html/ACTU-2021-00118" TargetMode="External"/><Relationship Id="rId7" Type="http://schemas.openxmlformats.org/officeDocument/2006/relationships/endnotes" Target="endnotes.xml"/><Relationship Id="rId12" Type="http://schemas.openxmlformats.org/officeDocument/2006/relationships/hyperlink" Target="https://www.legifrance.gouv.fr/ceta/id/CETATEXT000043205031?page=1&amp;pageSize=10&amp;query=429647&amp;searchField=ALL&amp;searchType=ALL&amp;sortValue=DATE_DESC&amp;tab_selection=cetat" TargetMode="External"/><Relationship Id="rId17" Type="http://schemas.openxmlformats.org/officeDocument/2006/relationships/hyperlink" Target="https://boss.gouv.fr/portail/accueil/actualites.html" TargetMode="External"/><Relationship Id="rId25" Type="http://schemas.openxmlformats.org/officeDocument/2006/relationships/hyperlink" Target="https://bofip.impots.gouv.fr/bofip/13007-PGP.html/ACTU-2021-00144" TargetMode="External"/><Relationship Id="rId33" Type="http://schemas.openxmlformats.org/officeDocument/2006/relationships/hyperlink" Target="https://bofip.impots.gouv.fr/bofip/12942-PGP.html/ACTU-2021-00122"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ata.ofgl.fr/pages/filtre-syndicats/" TargetMode="External"/><Relationship Id="rId29" Type="http://schemas.openxmlformats.org/officeDocument/2006/relationships/hyperlink" Target="https://bofip.impots.gouv.fr/bofip/12947-PGP.html/ACTU-2021-0012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2796-PGP.html/ACTU-2021-00043" TargetMode="External"/><Relationship Id="rId24" Type="http://schemas.openxmlformats.org/officeDocument/2006/relationships/hyperlink" Target="https://bofip.impots.gouv.fr/bofip/13015-PGP.html/ACTU-2021-00146" TargetMode="External"/><Relationship Id="rId32" Type="http://schemas.openxmlformats.org/officeDocument/2006/relationships/hyperlink" Target="https://bofip.impots.gouv.fr/bofip/12796-PGP.html/ACTU-2021-00043"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bofip.impots.gouv.fr/bofip/13004-PGP.html/ACTU-2021-00142" TargetMode="External"/><Relationship Id="rId28" Type="http://schemas.openxmlformats.org/officeDocument/2006/relationships/hyperlink" Target="https://bofip.impots.gouv.fr/bofip/12520-PGP.html/ACTU-2020-00255" TargetMode="External"/><Relationship Id="rId36" Type="http://schemas.openxmlformats.org/officeDocument/2006/relationships/hyperlink" Target="https://bofip.impots.gouv.fr/bofip/12923-PGP.html/ACTU-2021-00120" TargetMode="External"/><Relationship Id="rId10" Type="http://schemas.openxmlformats.org/officeDocument/2006/relationships/hyperlink" Target="https://www.legifrance.gouv.fr/ceta/id/CETATEXT000042854679?page=1&amp;pageSize=10&amp;query=18DA01697&amp;searchField=ALL&amp;searchType=ALL&amp;sortValue=DATE_DESC&amp;tab_selection=cetat" TargetMode="External"/><Relationship Id="rId19" Type="http://schemas.openxmlformats.org/officeDocument/2006/relationships/hyperlink" Target="https://www.legifrance.gouv.fr/loda/id/JORFTEXT000041794017/" TargetMode="External"/><Relationship Id="rId31" Type="http://schemas.openxmlformats.org/officeDocument/2006/relationships/hyperlink" Target="https://bofip.impots.gouv.fr/bofip/12963-PGP.html/ACTU-2021-00131" TargetMode="External"/><Relationship Id="rId4" Type="http://schemas.openxmlformats.org/officeDocument/2006/relationships/settings" Target="settings.xml"/><Relationship Id="rId9" Type="http://schemas.openxmlformats.org/officeDocument/2006/relationships/hyperlink" Target="https://bofip.impots.gouv.fr/bofip/3438-PGP.html/identifiant=BOI-BIC-CHG-60-20-10-20210224" TargetMode="External"/><Relationship Id="rId14" Type="http://schemas.openxmlformats.org/officeDocument/2006/relationships/hyperlink" Target="https://bofip.impots.gouv.fr/bofip/12963-PGP.html/ACTU-2021-00131" TargetMode="External"/><Relationship Id="rId22" Type="http://schemas.openxmlformats.org/officeDocument/2006/relationships/hyperlink" Target="https://bofip.impots.gouv.fr/bofip/12994-PGP.html/ACTU-2021-00141" TargetMode="External"/><Relationship Id="rId27" Type="http://schemas.openxmlformats.org/officeDocument/2006/relationships/hyperlink" Target="https://bofip.impots.gouv.fr/bofip/12732-PGP.html/ACTU-2021-00007" TargetMode="External"/><Relationship Id="rId30" Type="http://schemas.openxmlformats.org/officeDocument/2006/relationships/hyperlink" Target="https://bofip.impots.gouv.fr/bofip/12977-PGP.html/ACTU-2021-00133" TargetMode="External"/><Relationship Id="rId35" Type="http://schemas.openxmlformats.org/officeDocument/2006/relationships/hyperlink" Target="https://bofip.impots.gouv.fr/bofip/12910-PGP.html/ACTU-2021-001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2182</Words>
  <Characters>12004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14158</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10</cp:revision>
  <cp:lastPrinted>2020-08-04T09:31:00Z</cp:lastPrinted>
  <dcterms:created xsi:type="dcterms:W3CDTF">2021-03-04T15:01:00Z</dcterms:created>
  <dcterms:modified xsi:type="dcterms:W3CDTF">2021-04-04T14:26:00Z</dcterms:modified>
</cp:coreProperties>
</file>