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07940C1C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20-</w:t>
            </w:r>
            <w:r w:rsidR="00F571B7">
              <w:rPr>
                <w:rFonts w:ascii="Times New Roman" w:eastAsia="Times New Roman" w:hAnsi="Times New Roman"/>
                <w:noProof/>
                <w:sz w:val="20"/>
              </w:rPr>
              <w:t>11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7C9601D9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831AB8">
              <w:t>3</w:t>
            </w:r>
            <w:r w:rsidR="00101E9F">
              <w:t xml:space="preserve"> </w:t>
            </w:r>
            <w:r w:rsidR="00F571B7">
              <w:t>décembre</w:t>
            </w:r>
            <w:r w:rsidR="00F71566">
              <w:t xml:space="preserve"> </w:t>
            </w:r>
            <w:r w:rsidR="00916F7D">
              <w:t>2020</w:t>
            </w:r>
          </w:p>
        </w:tc>
      </w:tr>
    </w:tbl>
    <w:p w14:paraId="27D5BEC7" w14:textId="77777777" w:rsidR="00302BF5" w:rsidRPr="00E935A2" w:rsidRDefault="00E935A2" w:rsidP="00E935A2">
      <w:pPr>
        <w:spacing w:line="280" w:lineRule="exact"/>
        <w:jc w:val="center"/>
        <w:rPr>
          <w:b/>
        </w:rPr>
      </w:pPr>
      <w:r w:rsidRPr="00E935A2">
        <w:rPr>
          <w:b/>
        </w:rPr>
        <w:t>RÉSUMÉ DU MOIS</w:t>
      </w:r>
    </w:p>
    <w:p w14:paraId="4E04A76B" w14:textId="77777777" w:rsidR="00A15B3A" w:rsidRDefault="00A15B3A" w:rsidP="00C42CCE">
      <w:pPr>
        <w:spacing w:before="120" w:after="120" w:line="240" w:lineRule="auto"/>
      </w:pPr>
    </w:p>
    <w:p w14:paraId="23978685" w14:textId="77777777" w:rsidR="00A15B3A" w:rsidRPr="00870D41" w:rsidRDefault="00A15B3A" w:rsidP="00C42CCE">
      <w:pPr>
        <w:spacing w:before="120" w:after="120" w:line="240" w:lineRule="auto"/>
      </w:pPr>
    </w:p>
    <w:p w14:paraId="07105D35" w14:textId="77777777" w:rsidR="004378F6" w:rsidRPr="00C42CCE" w:rsidRDefault="00596118" w:rsidP="00C42CCE">
      <w:pPr>
        <w:spacing w:before="120" w:after="12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14E96DBB" w:rsidR="00D1561B" w:rsidRDefault="00596118" w:rsidP="00364571">
      <w:pPr>
        <w:spacing w:before="120" w:after="12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6970D2">
        <w:t>Rien à signaler</w:t>
      </w:r>
    </w:p>
    <w:p w14:paraId="073D1CB1" w14:textId="0B526978" w:rsidR="00916F7D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831AB8">
        <w:t xml:space="preserve">Pas de récupération de toute </w:t>
      </w:r>
      <w:proofErr w:type="spellStart"/>
      <w:r w:rsidR="00831AB8">
        <w:t>a</w:t>
      </w:r>
      <w:proofErr w:type="spellEnd"/>
      <w:r w:rsidR="00831AB8">
        <w:t xml:space="preserve"> TVA sur les frais généraux des EHPAD -</w:t>
      </w:r>
    </w:p>
    <w:p w14:paraId="4E8276DC" w14:textId="0FEF344E" w:rsidR="001261C0" w:rsidRDefault="00596118" w:rsidP="007B0F69">
      <w:pPr>
        <w:spacing w:before="120" w:after="12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831AB8">
        <w:t>Dégrèvement de taxe foncière seulement en raison de la nature des travaux, qu’importe leur régime de TVA -</w:t>
      </w:r>
    </w:p>
    <w:p w14:paraId="7E16B77A" w14:textId="5333044A" w:rsidR="004A7406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4A8D0512" w:rsidR="00B50E23" w:rsidRDefault="00596118" w:rsidP="00B50E23">
      <w:pPr>
        <w:spacing w:before="120" w:after="12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6970D2">
        <w:t>Rien à signaler</w:t>
      </w:r>
    </w:p>
    <w:p w14:paraId="65391ECA" w14:textId="77777777" w:rsidR="00A05CA0" w:rsidRDefault="00A05CA0" w:rsidP="002976C6">
      <w:pPr>
        <w:spacing w:before="120" w:after="120" w:line="240" w:lineRule="auto"/>
      </w:pPr>
    </w:p>
    <w:p w14:paraId="5B5F272A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02B822DD" w:rsidR="00B54BDA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831AB8">
        <w:t>Calendrier de la certification expérimentale des comptes 2020.</w:t>
      </w:r>
    </w:p>
    <w:p w14:paraId="5F6B1C19" w14:textId="79763F2E" w:rsidR="005A391C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831AB8">
        <w:t>Rien à signaler</w:t>
      </w:r>
    </w:p>
    <w:p w14:paraId="2B21C9B8" w14:textId="77777777" w:rsidR="00596118" w:rsidRDefault="00596118" w:rsidP="005A391C">
      <w:pPr>
        <w:spacing w:before="120" w:after="120" w:line="240" w:lineRule="auto"/>
      </w:pPr>
    </w:p>
    <w:p w14:paraId="4A445B21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46834DA3" w:rsidR="00B54BDA" w:rsidRDefault="00596118" w:rsidP="00B54BDA">
      <w:pPr>
        <w:spacing w:before="120" w:after="12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831AB8">
        <w:t>Regroupement de bailleurs sociaux : rappel à l’ordre de la DGALN -</w:t>
      </w:r>
    </w:p>
    <w:p w14:paraId="41468130" w14:textId="61772D93" w:rsidR="006B1E5F" w:rsidRDefault="00596118" w:rsidP="00FA7730">
      <w:pPr>
        <w:spacing w:before="120" w:after="12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831AB8">
        <w:t>Liberté dans la gestion du domaine privé mais en respectant quelques règles publiques -</w:t>
      </w:r>
    </w:p>
    <w:p w14:paraId="48D6DEFC" w14:textId="18F5321B" w:rsidR="00CE269F" w:rsidRDefault="00596118" w:rsidP="00591898">
      <w:pPr>
        <w:spacing w:before="120" w:after="12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831AB8">
        <w:t>Comment calculer la surcompensation dans le logement social -</w:t>
      </w:r>
    </w:p>
    <w:p w14:paraId="76354D80" w14:textId="438719AE" w:rsidR="00004382" w:rsidRDefault="00596118" w:rsidP="00004382">
      <w:pPr>
        <w:spacing w:before="120" w:after="12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831AB8">
        <w:t>Rien à signaler</w:t>
      </w:r>
    </w:p>
    <w:p w14:paraId="77F778DB" w14:textId="77777777" w:rsidR="00303BBA" w:rsidRDefault="00303BBA" w:rsidP="00004382">
      <w:pPr>
        <w:spacing w:before="120" w:after="120" w:line="240" w:lineRule="auto"/>
        <w:ind w:left="1701" w:hanging="1701"/>
      </w:pPr>
    </w:p>
    <w:p w14:paraId="75EB0D2D" w14:textId="11097543" w:rsidR="00E935A2" w:rsidRDefault="00E935A2" w:rsidP="00E0331C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38C830FC" w14:textId="794986F0" w:rsidR="008441AC" w:rsidRDefault="006970D2" w:rsidP="009F702B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62E80419" w14:textId="4978C270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10FBBCEF" w14:textId="6E170908" w:rsidR="00E24FDF" w:rsidRDefault="00E24FDF" w:rsidP="00E24FDF">
      <w:pPr>
        <w:spacing w:before="120" w:after="0" w:line="240" w:lineRule="auto"/>
        <w:rPr>
          <w:rFonts w:cs="Times"/>
          <w:color w:val="003300"/>
          <w:szCs w:val="24"/>
        </w:rPr>
      </w:pPr>
      <w:r w:rsidRPr="004C3414">
        <w:rPr>
          <w:rFonts w:cs="Times"/>
          <w:color w:val="003300"/>
          <w:szCs w:val="24"/>
          <w:u w:val="single"/>
        </w:rPr>
        <w:t xml:space="preserve">TVA des </w:t>
      </w:r>
      <w:r>
        <w:rPr>
          <w:rFonts w:cs="Times"/>
          <w:color w:val="003300"/>
          <w:szCs w:val="24"/>
          <w:u w:val="single"/>
        </w:rPr>
        <w:t>EHPAD</w:t>
      </w:r>
      <w:r>
        <w:rPr>
          <w:rFonts w:cs="Times"/>
          <w:color w:val="003300"/>
          <w:szCs w:val="24"/>
        </w:rPr>
        <w:t xml:space="preserve"> – Plus de </w:t>
      </w:r>
      <w:r w:rsidR="00831AB8">
        <w:rPr>
          <w:rFonts w:cs="Times"/>
          <w:color w:val="003300"/>
          <w:szCs w:val="24"/>
        </w:rPr>
        <w:t>récupération</w:t>
      </w:r>
      <w:r>
        <w:rPr>
          <w:rFonts w:cs="Times"/>
          <w:color w:val="003300"/>
          <w:szCs w:val="24"/>
        </w:rPr>
        <w:t xml:space="preserve"> de l’intégralité de la TVA sur les frais généraux.</w:t>
      </w:r>
    </w:p>
    <w:p w14:paraId="517D761C" w14:textId="5AA84BE4" w:rsidR="00E24FDF" w:rsidRPr="00E24FDF" w:rsidRDefault="00124825" w:rsidP="00E24FDF">
      <w:pPr>
        <w:spacing w:before="120" w:after="0" w:line="240" w:lineRule="auto"/>
        <w:ind w:left="567"/>
        <w:rPr>
          <w:rFonts w:cs="Times"/>
          <w:szCs w:val="24"/>
        </w:rPr>
      </w:pPr>
      <w:hyperlink r:id="rId8" w:anchor="cetat" w:history="1">
        <w:r w:rsidR="00E24FDF" w:rsidRPr="00E24FDF">
          <w:rPr>
            <w:rStyle w:val="Lienhypertexte"/>
            <w:rFonts w:cs="Times"/>
            <w:szCs w:val="24"/>
          </w:rPr>
          <w:t>Conseil d’Etat n° 426661</w:t>
        </w:r>
      </w:hyperlink>
      <w:r w:rsidR="00E24FDF" w:rsidRPr="00E24FDF">
        <w:rPr>
          <w:rFonts w:cs="Times"/>
          <w:szCs w:val="24"/>
        </w:rPr>
        <w:t>, 7/10/2020</w:t>
      </w:r>
    </w:p>
    <w:p w14:paraId="6CE58C92" w14:textId="28958E6D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76820C5C" w14:textId="1513A701" w:rsidR="00101E9F" w:rsidRDefault="00890109" w:rsidP="00EC3CD6">
      <w:pPr>
        <w:spacing w:before="120" w:after="0" w:line="240" w:lineRule="auto"/>
        <w:rPr>
          <w:rFonts w:cs="Times"/>
          <w:color w:val="003300"/>
          <w:szCs w:val="24"/>
        </w:rPr>
      </w:pPr>
      <w:r w:rsidRPr="00890109">
        <w:rPr>
          <w:rFonts w:cs="Times"/>
          <w:color w:val="003300"/>
          <w:szCs w:val="24"/>
          <w:u w:val="single"/>
        </w:rPr>
        <w:t>Dégrèvement de taxe foncière</w:t>
      </w:r>
      <w:r>
        <w:rPr>
          <w:rFonts w:cs="Times"/>
          <w:color w:val="003300"/>
          <w:szCs w:val="24"/>
        </w:rPr>
        <w:t xml:space="preserve"> – Il est de droit, seulement du fait de la nature des travaux et la TVA ne joue pas.</w:t>
      </w:r>
    </w:p>
    <w:p w14:paraId="2DFA8F08" w14:textId="3A4EF41D" w:rsidR="00890109" w:rsidRPr="00890109" w:rsidRDefault="00124825" w:rsidP="00890109">
      <w:pPr>
        <w:spacing w:before="120" w:after="0" w:line="240" w:lineRule="auto"/>
        <w:ind w:left="567"/>
        <w:rPr>
          <w:rFonts w:cs="Times"/>
          <w:szCs w:val="24"/>
        </w:rPr>
      </w:pPr>
      <w:hyperlink r:id="rId9" w:history="1">
        <w:r w:rsidR="00890109" w:rsidRPr="00890109">
          <w:rPr>
            <w:rStyle w:val="Lienhypertexte"/>
            <w:rFonts w:cs="Times"/>
            <w:szCs w:val="24"/>
          </w:rPr>
          <w:t>Conseil d’Etat n° 431314</w:t>
        </w:r>
      </w:hyperlink>
      <w:r w:rsidR="00890109" w:rsidRPr="00890109">
        <w:rPr>
          <w:rFonts w:cs="Times"/>
          <w:szCs w:val="24"/>
        </w:rPr>
        <w:t xml:space="preserve"> 12/10/2020</w:t>
      </w:r>
    </w:p>
    <w:p w14:paraId="0C3E1935" w14:textId="42CABB59" w:rsidR="00064C94" w:rsidRPr="006320BB" w:rsidRDefault="00064C94" w:rsidP="00EC3CD6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1.4</w:t>
      </w:r>
      <w:r w:rsidRPr="006320BB">
        <w:rPr>
          <w:rFonts w:cs="Times"/>
          <w:b/>
          <w:szCs w:val="24"/>
        </w:rPr>
        <w:tab/>
        <w:t>Taxes sur les salaires</w:t>
      </w:r>
    </w:p>
    <w:p w14:paraId="059350D2" w14:textId="4902D220" w:rsidR="00EA117D" w:rsidRDefault="006970D2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6970D2">
        <w:rPr>
          <w:rFonts w:cs="Times"/>
          <w:color w:val="003300"/>
          <w:szCs w:val="24"/>
        </w:rPr>
        <w:t>Rien à signaler</w:t>
      </w:r>
    </w:p>
    <w:p w14:paraId="20AC9049" w14:textId="4EA0B02B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73BFEC1F" w14:textId="18E0C7EF" w:rsidR="0017792F" w:rsidRPr="006970D2" w:rsidRDefault="006970D2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6970D2">
        <w:rPr>
          <w:rFonts w:cs="Times"/>
          <w:color w:val="003300"/>
          <w:szCs w:val="24"/>
        </w:rPr>
        <w:t>Rien à signaler</w:t>
      </w:r>
    </w:p>
    <w:p w14:paraId="58C23D5C" w14:textId="77777777" w:rsidR="00EA117D" w:rsidRDefault="00EA117D" w:rsidP="002F416C">
      <w:pPr>
        <w:spacing w:before="120" w:after="0" w:line="240" w:lineRule="auto"/>
        <w:rPr>
          <w:rFonts w:cs="Times"/>
          <w:b/>
          <w:szCs w:val="24"/>
        </w:rPr>
      </w:pPr>
    </w:p>
    <w:p w14:paraId="20C76B2E" w14:textId="124A42BD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256B3D14" w14:textId="05B77B71" w:rsidR="00433A4A" w:rsidRDefault="00B81E53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B81E53">
        <w:rPr>
          <w:rFonts w:cs="Times"/>
          <w:color w:val="003300"/>
          <w:szCs w:val="24"/>
          <w:u w:val="single"/>
        </w:rPr>
        <w:t>Certification des comptes publics</w:t>
      </w:r>
      <w:r>
        <w:rPr>
          <w:rFonts w:cs="Times"/>
          <w:color w:val="003300"/>
          <w:szCs w:val="24"/>
        </w:rPr>
        <w:t xml:space="preserve"> – calendrier de production de ces comptes, pour les collectivités qui expérimentent la certification.</w:t>
      </w:r>
    </w:p>
    <w:p w14:paraId="13C0E09B" w14:textId="38638CC9" w:rsidR="00B81E53" w:rsidRPr="00B81E53" w:rsidRDefault="00124825" w:rsidP="00831AB8">
      <w:pPr>
        <w:spacing w:before="120" w:after="0" w:line="240" w:lineRule="auto"/>
        <w:ind w:left="567"/>
        <w:rPr>
          <w:rFonts w:cs="Times"/>
          <w:szCs w:val="24"/>
        </w:rPr>
      </w:pPr>
      <w:hyperlink r:id="rId10" w:history="1">
        <w:r w:rsidR="00B81E53" w:rsidRPr="00B81E53">
          <w:rPr>
            <w:rStyle w:val="Lienhypertexte"/>
            <w:rFonts w:cs="Times"/>
            <w:szCs w:val="24"/>
          </w:rPr>
          <w:t>Arrêté du 29 octobre 2020</w:t>
        </w:r>
      </w:hyperlink>
      <w:r w:rsidR="00B81E53" w:rsidRPr="00B81E53">
        <w:rPr>
          <w:rFonts w:cs="Times"/>
          <w:szCs w:val="24"/>
        </w:rPr>
        <w:t xml:space="preserve"> relatif au calendrier d'arrêté des comptes des collectivités territoriales et de leurs groupements admis à participer à l'expérimentation de la certification des comptes prévue par l'article 110 de la loi n° 2015-991 portant nouvelle organisation territoriale de la République</w:t>
      </w:r>
    </w:p>
    <w:p w14:paraId="1E12E0B0" w14:textId="77777777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0D1717A9" w14:textId="1F03AD24" w:rsidR="003B18B4" w:rsidRPr="00831AB8" w:rsidRDefault="00831AB8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6970D2">
        <w:rPr>
          <w:rFonts w:cs="Times"/>
          <w:color w:val="003300"/>
          <w:szCs w:val="24"/>
        </w:rPr>
        <w:t>Rien à signaler</w:t>
      </w:r>
    </w:p>
    <w:p w14:paraId="66B9CFD5" w14:textId="77777777" w:rsidR="00F571B7" w:rsidRPr="002D38A3" w:rsidRDefault="00F571B7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077EA3B3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687263B3" w14:textId="324B523A" w:rsidR="00F571B7" w:rsidRDefault="00372186" w:rsidP="006320BB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Regroupement des bailleurs sociaux</w:t>
      </w:r>
      <w:r>
        <w:rPr>
          <w:rFonts w:cs="Times"/>
          <w:color w:val="003300"/>
          <w:szCs w:val="24"/>
        </w:rPr>
        <w:t xml:space="preserve"> – Un rappel à l’ordre ou plutôt des échéances de ce regroupement.</w:t>
      </w:r>
    </w:p>
    <w:p w14:paraId="0E9E41A8" w14:textId="60A56D90" w:rsidR="00372186" w:rsidRDefault="00124825" w:rsidP="00372186">
      <w:pPr>
        <w:spacing w:before="120" w:after="0" w:line="240" w:lineRule="auto"/>
        <w:ind w:left="567"/>
        <w:rPr>
          <w:rFonts w:cs="Times"/>
          <w:color w:val="003300"/>
          <w:szCs w:val="24"/>
          <w:u w:val="single"/>
        </w:rPr>
      </w:pPr>
      <w:hyperlink r:id="rId11" w:history="1">
        <w:r w:rsidR="00372186" w:rsidRPr="00372186">
          <w:rPr>
            <w:rStyle w:val="Lienhypertexte"/>
            <w:rFonts w:cs="Times"/>
            <w:szCs w:val="24"/>
          </w:rPr>
          <w:t>Circulaire du 16/11/2020 DGALN</w:t>
        </w:r>
      </w:hyperlink>
    </w:p>
    <w:p w14:paraId="17D13BC7" w14:textId="01670689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E4824F8" w14:textId="3BC6077A" w:rsidR="00332F95" w:rsidRPr="00A15B3A" w:rsidRDefault="00332F95" w:rsidP="00332F95">
      <w:pPr>
        <w:spacing w:before="120" w:after="0" w:line="240" w:lineRule="auto"/>
        <w:rPr>
          <w:rFonts w:cs="Times"/>
          <w:color w:val="003300"/>
          <w:szCs w:val="24"/>
        </w:rPr>
      </w:pPr>
      <w:r w:rsidRPr="00332F95">
        <w:rPr>
          <w:rFonts w:cs="Times"/>
          <w:color w:val="003300"/>
          <w:szCs w:val="24"/>
          <w:u w:val="single"/>
        </w:rPr>
        <w:t>Gestion du domaine privé</w:t>
      </w:r>
      <w:r>
        <w:rPr>
          <w:rFonts w:cs="Times"/>
          <w:color w:val="003300"/>
          <w:szCs w:val="24"/>
        </w:rPr>
        <w:t xml:space="preserve"> – Pleine liberté des personnes publiques mais en respectant les règles du droit public (notamment publicité et mise en concurrence ?)</w:t>
      </w:r>
    </w:p>
    <w:p w14:paraId="300321E5" w14:textId="55D8E523" w:rsidR="00F571B7" w:rsidRPr="00332F95" w:rsidRDefault="00124825" w:rsidP="00332F95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2" w:history="1">
        <w:r w:rsidR="00332F95" w:rsidRPr="00332F95">
          <w:rPr>
            <w:rStyle w:val="Lienhypertexte"/>
            <w:rFonts w:cs="Times"/>
            <w:szCs w:val="24"/>
          </w:rPr>
          <w:t>Réponse Masson n° 14843</w:t>
        </w:r>
      </w:hyperlink>
      <w:r w:rsidR="00332F95" w:rsidRPr="00332F95">
        <w:rPr>
          <w:rFonts w:cs="Times"/>
          <w:szCs w:val="24"/>
        </w:rPr>
        <w:t>, JO Séant 12/11/2020, p. 5285</w:t>
      </w:r>
    </w:p>
    <w:p w14:paraId="7D92344F" w14:textId="0767B122" w:rsidR="00331173" w:rsidRDefault="00331173" w:rsidP="00831AB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lastRenderedPageBreak/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316C59A6" w14:textId="7F5A0765" w:rsidR="00DE186B" w:rsidRDefault="00DE186B" w:rsidP="00831AB8">
      <w:pPr>
        <w:keepNext/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  <w:u w:val="single"/>
        </w:rPr>
        <w:t xml:space="preserve">SIEG du logement social </w:t>
      </w:r>
      <w:r w:rsidRPr="00DE186B">
        <w:rPr>
          <w:rFonts w:cs="Times"/>
          <w:color w:val="003300"/>
          <w:szCs w:val="24"/>
        </w:rPr>
        <w:t>– On commence à juger de la surcompensation ; en d’autres termes, les bailleurs sociaux reçoivent-ils trop d’argent public ? La querelle porte pour l’heure sur la façon de calculer…</w:t>
      </w:r>
    </w:p>
    <w:p w14:paraId="6D12A8FF" w14:textId="09D3EACA" w:rsidR="00372186" w:rsidRPr="00DE186B" w:rsidRDefault="00124825" w:rsidP="00DE186B">
      <w:pPr>
        <w:spacing w:before="120" w:after="0" w:line="240" w:lineRule="auto"/>
        <w:ind w:left="567"/>
        <w:rPr>
          <w:rFonts w:cs="Times"/>
          <w:szCs w:val="24"/>
        </w:rPr>
      </w:pPr>
      <w:hyperlink r:id="rId13" w:history="1">
        <w:r w:rsidR="00372186" w:rsidRPr="00DE186B">
          <w:rPr>
            <w:rStyle w:val="Lienhypertexte"/>
            <w:rFonts w:cs="Times"/>
            <w:szCs w:val="24"/>
          </w:rPr>
          <w:t>Conseil d'État</w:t>
        </w:r>
        <w:r w:rsidR="00DE186B" w:rsidRPr="00DE186B">
          <w:rPr>
            <w:rStyle w:val="Lienhypertexte"/>
            <w:rFonts w:cs="Times"/>
            <w:szCs w:val="24"/>
          </w:rPr>
          <w:t xml:space="preserve"> n° 429078</w:t>
        </w:r>
      </w:hyperlink>
      <w:r w:rsidR="00372186" w:rsidRPr="00DE186B">
        <w:rPr>
          <w:rFonts w:cs="Times"/>
          <w:szCs w:val="24"/>
        </w:rPr>
        <w:t>, 29/06/2020</w:t>
      </w:r>
    </w:p>
    <w:p w14:paraId="752B38A1" w14:textId="03381F0B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3B1B40E0" w14:textId="77777777" w:rsidR="00831AB8" w:rsidRPr="00831AB8" w:rsidRDefault="00831AB8" w:rsidP="00831AB8">
      <w:pPr>
        <w:spacing w:before="120" w:after="0" w:line="240" w:lineRule="auto"/>
        <w:rPr>
          <w:rFonts w:cs="Times"/>
          <w:color w:val="003300"/>
          <w:szCs w:val="24"/>
        </w:rPr>
      </w:pPr>
      <w:r w:rsidRPr="006970D2">
        <w:rPr>
          <w:rFonts w:cs="Times"/>
          <w:color w:val="003300"/>
          <w:szCs w:val="24"/>
        </w:rPr>
        <w:t>Rien à signaler</w:t>
      </w:r>
    </w:p>
    <w:p w14:paraId="63D0111D" w14:textId="27704048" w:rsidR="00925BD4" w:rsidRDefault="00925BD4" w:rsidP="00A340F6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</w:p>
    <w:p w14:paraId="185EC26E" w14:textId="77777777" w:rsidR="00F571B7" w:rsidRPr="00E06210" w:rsidRDefault="00F571B7" w:rsidP="00A340F6">
      <w:pPr>
        <w:spacing w:before="120" w:after="0" w:line="240" w:lineRule="auto"/>
        <w:rPr>
          <w:rFonts w:cs="Times"/>
          <w:color w:val="003300"/>
          <w:szCs w:val="24"/>
        </w:rPr>
      </w:pPr>
    </w:p>
    <w:p w14:paraId="2649CADA" w14:textId="7B699F34" w:rsidR="0012059E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BC38F3">
        <w:rPr>
          <w:rFonts w:ascii="Times New Roman" w:hAnsi="Times New Roman"/>
          <w:b/>
          <w:szCs w:val="24"/>
        </w:rPr>
        <w:lastRenderedPageBreak/>
        <w:t>Les actualités</w:t>
      </w:r>
      <w:r w:rsidR="003558DA">
        <w:rPr>
          <w:rFonts w:ascii="Times New Roman" w:hAnsi="Times New Roman"/>
          <w:b/>
          <w:szCs w:val="24"/>
        </w:rPr>
        <w:t xml:space="preserve"> fiscales</w:t>
      </w:r>
    </w:p>
    <w:p w14:paraId="544BECE6" w14:textId="77777777" w:rsidR="00637926" w:rsidRDefault="00637926" w:rsidP="00637926">
      <w:pPr>
        <w:shd w:val="clear" w:color="auto" w:fill="FFFFFF"/>
        <w:spacing w:before="0" w:after="0" w:line="240" w:lineRule="auto"/>
        <w:rPr>
          <w:rFonts w:ascii="Open Sans" w:eastAsia="Times New Roman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25/11/2020</w:t>
      </w:r>
    </w:p>
    <w:p w14:paraId="7FCC16D5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4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BIC - Actualisation du taux maximum des intérêts admis en déduction d'un point de vue fiscal</w:t>
        </w:r>
      </w:hyperlink>
    </w:p>
    <w:p w14:paraId="5394DD11" w14:textId="77777777" w:rsidR="00637926" w:rsidRDefault="00637926" w:rsidP="00637926">
      <w:pPr>
        <w:pStyle w:val="NormalWeb"/>
        <w:shd w:val="clear" w:color="auto" w:fill="FFFFFF"/>
        <w:spacing w:before="0" w:after="150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</w:p>
    <w:p w14:paraId="10F1C067" w14:textId="77777777" w:rsidR="00637926" w:rsidRDefault="00637926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25/11/2020</w:t>
      </w:r>
    </w:p>
    <w:p w14:paraId="256EE020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5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 xml:space="preserve">CF - Déclaration de dispositifs transfrontières potentiellement agressifs - Report de la mise en </w:t>
        </w:r>
        <w:proofErr w:type="spellStart"/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oeuvre</w:t>
        </w:r>
        <w:proofErr w:type="spellEnd"/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 xml:space="preserve"> du dispositif (loi n° 2020-935 du 30 juillet 2020 de finances rectificatives pour 2020, art. 53) et mise à jour suite à consultation publique</w:t>
        </w:r>
      </w:hyperlink>
    </w:p>
    <w:p w14:paraId="2998E1A6" w14:textId="77777777" w:rsidR="00637926" w:rsidRDefault="00637926" w:rsidP="00637926">
      <w:pPr>
        <w:pStyle w:val="NormalWeb"/>
        <w:shd w:val="clear" w:color="auto" w:fill="FFFFFF"/>
        <w:spacing w:before="0" w:after="150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</w:p>
    <w:p w14:paraId="691575B8" w14:textId="77777777" w:rsidR="00637926" w:rsidRDefault="00637926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23/11/2020</w:t>
      </w:r>
    </w:p>
    <w:p w14:paraId="7751FA91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6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TCA - Rectification du barème 2021 des contributions sur les boissons non alcooliques (Entreprises - publication urgente)</w:t>
        </w:r>
      </w:hyperlink>
    </w:p>
    <w:p w14:paraId="1F068E01" w14:textId="77777777" w:rsidR="00637926" w:rsidRDefault="00637926" w:rsidP="00637926">
      <w:pPr>
        <w:pStyle w:val="NormalWeb"/>
        <w:shd w:val="clear" w:color="auto" w:fill="FFFFFF"/>
        <w:spacing w:before="0" w:after="150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</w:p>
    <w:p w14:paraId="5982839E" w14:textId="77777777" w:rsidR="00637926" w:rsidRDefault="00637926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06/11/2020</w:t>
      </w:r>
    </w:p>
    <w:p w14:paraId="7F003AA2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7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TVA - Locations de bateau à des fins de voyage d'agrément - Modification des conditions de détermination de la part des loyers imposables en France - Publication urgente</w:t>
        </w:r>
      </w:hyperlink>
    </w:p>
    <w:p w14:paraId="46D64AD1" w14:textId="77777777" w:rsidR="00637926" w:rsidRDefault="00637926" w:rsidP="00637926">
      <w:pPr>
        <w:pStyle w:val="NormalWeb"/>
        <w:shd w:val="clear" w:color="auto" w:fill="FFFFFF"/>
        <w:spacing w:before="0" w:after="150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</w:p>
    <w:p w14:paraId="26011868" w14:textId="77777777" w:rsidR="00637926" w:rsidRDefault="00637926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04/11/2020</w:t>
      </w:r>
    </w:p>
    <w:p w14:paraId="13121784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8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TVA - Rectificatif apporté à la mise à jour de la liste des compagnies aériennes réputées remplir les conditions du 4° du II de l'article 262 du CGI</w:t>
        </w:r>
      </w:hyperlink>
    </w:p>
    <w:p w14:paraId="381CCC3D" w14:textId="77777777" w:rsidR="00637926" w:rsidRDefault="00637926" w:rsidP="00637926">
      <w:pPr>
        <w:pStyle w:val="NormalWeb"/>
        <w:shd w:val="clear" w:color="auto" w:fill="FFFFFF"/>
        <w:spacing w:before="0" w:after="150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 </w:t>
      </w:r>
    </w:p>
    <w:p w14:paraId="43D41D39" w14:textId="77777777" w:rsidR="00637926" w:rsidRDefault="00637926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>04/11/2020</w:t>
      </w:r>
    </w:p>
    <w:p w14:paraId="3B71DE1D" w14:textId="77777777" w:rsidR="00637926" w:rsidRDefault="00124825" w:rsidP="00637926">
      <w:pPr>
        <w:shd w:val="clear" w:color="auto" w:fill="FFFFFF"/>
        <w:rPr>
          <w:rFonts w:ascii="Open Sans" w:hAnsi="Open Sans" w:cs="Open Sans"/>
          <w:color w:val="333333"/>
          <w:sz w:val="21"/>
          <w:szCs w:val="21"/>
        </w:rPr>
      </w:pPr>
      <w:hyperlink r:id="rId19" w:history="1">
        <w:r w:rsidR="00637926">
          <w:rPr>
            <w:rStyle w:val="Lienhypertexte"/>
            <w:rFonts w:ascii="Open Sans" w:hAnsi="Open Sans" w:cs="Open Sans"/>
            <w:color w:val="333333"/>
            <w:sz w:val="21"/>
            <w:szCs w:val="21"/>
          </w:rPr>
          <w:t>ENR - Taxes additionnelles à la taxe sur les certificats d'immatriculation des véhicules - Application du barème du malus CO2 aux véhicules DERIV VP transformés pour la première fois en véhicule de tourisme - Correction rédactionnelle</w:t>
        </w:r>
      </w:hyperlink>
    </w:p>
    <w:p w14:paraId="47BD9B5F" w14:textId="77777777" w:rsidR="00637926" w:rsidRDefault="00637926" w:rsidP="00863FDD">
      <w:pPr>
        <w:pStyle w:val="NormalWeb"/>
        <w:shd w:val="clear" w:color="auto" w:fill="FFFFFF"/>
        <w:spacing w:before="120" w:after="0"/>
        <w:jc w:val="both"/>
      </w:pPr>
    </w:p>
    <w:p w14:paraId="51A0150C" w14:textId="027D3F5B" w:rsidR="00101E9F" w:rsidRPr="00863FDD" w:rsidRDefault="00101E9F" w:rsidP="00863FDD">
      <w:pPr>
        <w:pStyle w:val="NormalWeb"/>
        <w:shd w:val="clear" w:color="auto" w:fill="FFFFFF"/>
        <w:spacing w:before="120" w:after="0"/>
        <w:jc w:val="both"/>
        <w:rPr>
          <w:color w:val="333333"/>
        </w:rPr>
      </w:pPr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20"/>
      <w:headerReference w:type="first" r:id="rId21"/>
      <w:footerReference w:type="first" r:id="rId22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ACC0D" w14:textId="77777777" w:rsidR="00124825" w:rsidRDefault="00124825">
      <w:r>
        <w:separator/>
      </w:r>
    </w:p>
  </w:endnote>
  <w:endnote w:type="continuationSeparator" w:id="0">
    <w:p w14:paraId="093D624B" w14:textId="77777777" w:rsidR="00124825" w:rsidRDefault="00124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ECFCD5-A005-437E-9415-21A11A46BE5E}"/>
    <w:embedBold r:id="rId2" w:fontKey="{223783EE-2982-4350-9ED2-CCA81751C01D}"/>
    <w:embedBoldItalic r:id="rId3" w:fontKey="{19F5B6B0-975C-4396-8AEF-A9B2B35A9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1321D04B-2577-4C04-BC24-B866C825C6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B00D8C3E-6BDB-41E3-B738-F8D02EAD48D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1995F480-6ADE-41C6-8129-CB37F3C47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D73F6" w14:textId="77777777" w:rsidR="00124825" w:rsidRDefault="00124825">
      <w:r>
        <w:separator/>
      </w:r>
    </w:p>
  </w:footnote>
  <w:footnote w:type="continuationSeparator" w:id="0">
    <w:p w14:paraId="7E785B79" w14:textId="77777777" w:rsidR="00124825" w:rsidRDefault="00124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groupe </w:t>
          </w:r>
        </w:p>
        <w:p w14:paraId="656EF8C4" w14:textId="34F2EC6D" w:rsidR="00E72D0D" w:rsidRPr="00E35CBE" w:rsidRDefault="001357A6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fldSimple w:instr=" FILENAME   \* MERGEFORMAT ">
            <w:r w:rsidR="00B50478" w:rsidRPr="00B50478">
              <w:rPr>
                <w:noProof/>
                <w:sz w:val="20"/>
              </w:rPr>
              <w:t>Comptes-La revue -2020-</w:t>
            </w:r>
            <w:r w:rsidR="00F571B7">
              <w:rPr>
                <w:noProof/>
                <w:sz w:val="20"/>
              </w:rPr>
              <w:t>11</w:t>
            </w:r>
          </w:fldSimple>
        </w:p>
        <w:p w14:paraId="6D4A75FB" w14:textId="189BE3E8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831AB8">
            <w:rPr>
              <w:sz w:val="20"/>
            </w:rPr>
            <w:t>3</w:t>
          </w:r>
          <w:r w:rsidR="00101E9F">
            <w:rPr>
              <w:sz w:val="20"/>
            </w:rPr>
            <w:t xml:space="preserve"> </w:t>
          </w:r>
          <w:r w:rsidR="00F571B7">
            <w:rPr>
              <w:sz w:val="20"/>
            </w:rPr>
            <w:t>décembre</w:t>
          </w:r>
          <w:r w:rsidR="00101E9F">
            <w:rPr>
              <w:sz w:val="20"/>
            </w:rPr>
            <w:t xml:space="preserve"> </w:t>
          </w:r>
          <w:r>
            <w:rPr>
              <w:sz w:val="20"/>
            </w:rPr>
            <w:t>2020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6" type="#_x0000_t75" style="width:3in;height:3in" o:bullet="t"/>
    </w:pict>
  </w:numPicBullet>
  <w:numPicBullet w:numPicBulletId="1">
    <w:pict>
      <v:shape id="_x0000_i1387" type="#_x0000_t75" style="width:3in;height:3in" o:bullet="t"/>
    </w:pict>
  </w:numPicBullet>
  <w:numPicBullet w:numPicBulletId="2">
    <w:pict>
      <v:shape id="_x0000_i1388" type="#_x0000_t75" style="width:3in;height:3in" o:bullet="t"/>
    </w:pict>
  </w:numPicBullet>
  <w:numPicBullet w:numPicBulletId="3">
    <w:pict>
      <v:shape id="_x0000_i1389" type="#_x0000_t75" style="width:3in;height:3in" o:bullet="t"/>
    </w:pict>
  </w:numPicBullet>
  <w:numPicBullet w:numPicBulletId="4">
    <w:pict>
      <v:shape id="_x0000_i1390" type="#_x0000_t75" style="width:3in;height:3in" o:bullet="t"/>
    </w:pict>
  </w:numPicBullet>
  <w:numPicBullet w:numPicBulletId="5">
    <w:pict>
      <v:shape id="_x0000_i1391" type="#_x0000_t75" style="width:3in;height:3in" o:bullet="t"/>
    </w:pict>
  </w:numPicBullet>
  <w:numPicBullet w:numPicBulletId="6">
    <w:pict>
      <v:shape id="_x0000_i1392" type="#_x0000_t75" style="width:3in;height:3in" o:bullet="t"/>
    </w:pict>
  </w:numPicBullet>
  <w:numPicBullet w:numPicBulletId="7">
    <w:pict>
      <v:shape id="_x0000_i1393" type="#_x0000_t75" style="width:3in;height:3in" o:bullet="t"/>
    </w:pict>
  </w:numPicBullet>
  <w:numPicBullet w:numPicBulletId="8">
    <w:pict>
      <v:shape id="_x0000_i1394" type="#_x0000_t75" style="width:3in;height:3in" o:bullet="t"/>
    </w:pict>
  </w:numPicBullet>
  <w:numPicBullet w:numPicBulletId="9">
    <w:pict>
      <v:shape id="_x0000_i1395" type="#_x0000_t75" style="width:3in;height:3in" o:bullet="t"/>
    </w:pict>
  </w:numPicBullet>
  <w:numPicBullet w:numPicBulletId="10">
    <w:pict>
      <v:shape id="_x0000_i1396" type="#_x0000_t75" style="width:3in;height:3in" o:bullet="t"/>
    </w:pict>
  </w:numPicBullet>
  <w:numPicBullet w:numPicBulletId="11">
    <w:pict>
      <v:shape id="_x0000_i1397" type="#_x0000_t75" style="width:3in;height:3in" o:bullet="t"/>
    </w:pict>
  </w:numPicBullet>
  <w:numPicBullet w:numPicBulletId="12">
    <w:pict>
      <v:shape id="_x0000_i1398" type="#_x0000_t75" style="width:3in;height:3in" o:bullet="t"/>
    </w:pict>
  </w:numPicBullet>
  <w:numPicBullet w:numPicBulletId="13">
    <w:pict>
      <v:shape id="_x0000_i1399" type="#_x0000_t75" style="width:3in;height:3in" o:bullet="t"/>
    </w:pict>
  </w:numPicBullet>
  <w:numPicBullet w:numPicBulletId="14">
    <w:pict>
      <v:shape id="_x0000_i1400" type="#_x0000_t75" style="width:3in;height:3in" o:bullet="t"/>
    </w:pict>
  </w:numPicBullet>
  <w:numPicBullet w:numPicBulletId="15">
    <w:pict>
      <v:shape id="_x0000_i1401" type="#_x0000_t75" style="width:3in;height:3in" o:bullet="t"/>
    </w:pict>
  </w:numPicBullet>
  <w:numPicBullet w:numPicBulletId="16">
    <w:pict>
      <v:shape id="_x0000_i1402" type="#_x0000_t75" style="width:3in;height:3in" o:bullet="t"/>
    </w:pict>
  </w:numPicBullet>
  <w:numPicBullet w:numPicBulletId="17">
    <w:pict>
      <v:shape id="_x0000_i1403" type="#_x0000_t75" style="width:3in;height:3in" o:bullet="t"/>
    </w:pict>
  </w:numPicBullet>
  <w:numPicBullet w:numPicBulletId="18">
    <w:pict>
      <v:shape id="_x0000_i1404" type="#_x0000_t75" style="width:3in;height:3in" o:bullet="t"/>
    </w:pict>
  </w:numPicBullet>
  <w:numPicBullet w:numPicBulletId="19">
    <w:pict>
      <v:shape id="_x0000_i140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0"/>
  </w:num>
  <w:num w:numId="5">
    <w:abstractNumId w:val="24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1"/>
  </w:num>
  <w:num w:numId="14">
    <w:abstractNumId w:val="22"/>
  </w:num>
  <w:num w:numId="15">
    <w:abstractNumId w:val="25"/>
  </w:num>
  <w:num w:numId="16">
    <w:abstractNumId w:val="2"/>
  </w:num>
  <w:num w:numId="17">
    <w:abstractNumId w:val="26"/>
  </w:num>
  <w:num w:numId="18">
    <w:abstractNumId w:val="17"/>
  </w:num>
  <w:num w:numId="19">
    <w:abstractNumId w:val="21"/>
  </w:num>
  <w:num w:numId="20">
    <w:abstractNumId w:val="23"/>
  </w:num>
  <w:num w:numId="21">
    <w:abstractNumId w:val="27"/>
  </w:num>
  <w:num w:numId="22">
    <w:abstractNumId w:val="29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2"/>
  </w:num>
  <w:num w:numId="32">
    <w:abstractNumId w:val="28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608B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1E9F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C25"/>
    <w:rsid w:val="00275C45"/>
    <w:rsid w:val="00276933"/>
    <w:rsid w:val="00276CC5"/>
    <w:rsid w:val="0028027C"/>
    <w:rsid w:val="00280519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6EF2"/>
    <w:rsid w:val="002C7CD2"/>
    <w:rsid w:val="002D136E"/>
    <w:rsid w:val="002D1B9A"/>
    <w:rsid w:val="002D38A3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B6"/>
    <w:rsid w:val="003A6CC6"/>
    <w:rsid w:val="003B0210"/>
    <w:rsid w:val="003B063C"/>
    <w:rsid w:val="003B0EC1"/>
    <w:rsid w:val="003B18B4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E"/>
    <w:rsid w:val="003D2EBE"/>
    <w:rsid w:val="003D3492"/>
    <w:rsid w:val="003D36E0"/>
    <w:rsid w:val="003D50FE"/>
    <w:rsid w:val="003D66A1"/>
    <w:rsid w:val="003D67EC"/>
    <w:rsid w:val="003D703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4B1"/>
    <w:rsid w:val="004234C2"/>
    <w:rsid w:val="004235EB"/>
    <w:rsid w:val="0042642B"/>
    <w:rsid w:val="00426620"/>
    <w:rsid w:val="004269B3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8D1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3414"/>
    <w:rsid w:val="004C4D7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6118"/>
    <w:rsid w:val="00596796"/>
    <w:rsid w:val="00596CAA"/>
    <w:rsid w:val="00596DF4"/>
    <w:rsid w:val="00597BC4"/>
    <w:rsid w:val="005A14FA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A11"/>
    <w:rsid w:val="00656C51"/>
    <w:rsid w:val="0065734B"/>
    <w:rsid w:val="00657777"/>
    <w:rsid w:val="00657E6B"/>
    <w:rsid w:val="00661E97"/>
    <w:rsid w:val="00661F1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F33"/>
    <w:rsid w:val="00797B31"/>
    <w:rsid w:val="007A0CFC"/>
    <w:rsid w:val="007A1451"/>
    <w:rsid w:val="007A4A2C"/>
    <w:rsid w:val="007A52CA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1AB8"/>
    <w:rsid w:val="00833E6A"/>
    <w:rsid w:val="00834743"/>
    <w:rsid w:val="008362B6"/>
    <w:rsid w:val="00836AA1"/>
    <w:rsid w:val="0083731E"/>
    <w:rsid w:val="00842002"/>
    <w:rsid w:val="008441AC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5B7D"/>
    <w:rsid w:val="00856CF2"/>
    <w:rsid w:val="00861BE7"/>
    <w:rsid w:val="00861E0F"/>
    <w:rsid w:val="00862039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3E47"/>
    <w:rsid w:val="0088441B"/>
    <w:rsid w:val="008853AF"/>
    <w:rsid w:val="00886EB9"/>
    <w:rsid w:val="00887193"/>
    <w:rsid w:val="00887E2A"/>
    <w:rsid w:val="00890109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7059"/>
    <w:rsid w:val="00DC70CD"/>
    <w:rsid w:val="00DD1EDA"/>
    <w:rsid w:val="00DD2F49"/>
    <w:rsid w:val="00DD5C0C"/>
    <w:rsid w:val="00DD6235"/>
    <w:rsid w:val="00DD7C08"/>
    <w:rsid w:val="00DE0268"/>
    <w:rsid w:val="00DE0AE4"/>
    <w:rsid w:val="00DE186B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645C"/>
    <w:rsid w:val="00E1655B"/>
    <w:rsid w:val="00E17A16"/>
    <w:rsid w:val="00E20349"/>
    <w:rsid w:val="00E20417"/>
    <w:rsid w:val="00E2088C"/>
    <w:rsid w:val="00E2206F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EDE"/>
    <w:rsid w:val="00E6429B"/>
    <w:rsid w:val="00E65FB5"/>
    <w:rsid w:val="00E663F2"/>
    <w:rsid w:val="00E66407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15CD"/>
    <w:rsid w:val="00EC1EB7"/>
    <w:rsid w:val="00EC3538"/>
    <w:rsid w:val="00EC3CD6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ceta/id/CETATEXT000042409952?tab_selection=cetat&amp;query=%7B(%40ALL%5Bt%22*%22%5D)%7D&amp;isAdvancedResult=true&amp;dateDecision=07%2F10%2F2020+%3E+07%2F10%2F2020&amp;dateVersement=&amp;juridiction=CONSEIL_ETAT&amp;sortValue=DATE_DESC&amp;pageSize=10&amp;page=3&amp;tab_selection=cetat" TargetMode="External"/><Relationship Id="rId13" Type="http://schemas.openxmlformats.org/officeDocument/2006/relationships/hyperlink" Target="https://www.legifrance.gouv.fr/ceta/id/CETATEXT000042065780?tab_selection=cetat&amp;searchField=ALL&amp;query=429078&amp;page=1&amp;init=true&amp;dateDecision=" TargetMode="External"/><Relationship Id="rId18" Type="http://schemas.openxmlformats.org/officeDocument/2006/relationships/hyperlink" Target="https://bofip.impots.gouv.fr/bofip/12532-PGP.html/ACTU-2020-00261-4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senat.fr/basile/visio.do?id=qSEQ200314843&amp;idtable=q376322|q374698|q374721|q375001|q374277|q373925|q373806|q373722|q373199|q372704&amp;_na=QE&amp;rch=qa&amp;de=20201109&amp;au=20201113&amp;dp=1+an&amp;radio=deau&amp;date=dateJORep&amp;appr=text&amp;aff=ar&amp;tri=dd&amp;off=40&amp;afd=ppr&amp;afd=ppl&amp;afd=pjl&amp;afd=cvn" TargetMode="External"/><Relationship Id="rId17" Type="http://schemas.openxmlformats.org/officeDocument/2006/relationships/hyperlink" Target="https://bofip.impots.gouv.fr/bofip/12538-PGP.html/ACTU-2020-00264-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ofip.impots.gouv.fr/bofip/12577-PGP.html/ACTU-2020-0028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gazettedescommunes.com/telechargements/2020/11/circulaire-relative-au-suivi-du-regroupement-des-organismes-de-logement-social-1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ofip.impots.gouv.fr/bofip/12614-PGP.html/ACTU-2020-0029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legifrance.gouv.fr/jorf/id/JORFTEXT000042521145" TargetMode="External"/><Relationship Id="rId19" Type="http://schemas.openxmlformats.org/officeDocument/2006/relationships/hyperlink" Target="https://bofip.impots.gouv.fr/bofip/12569-PGP.html/ACTU-2020-00277-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eta/id/CETATEXT000042420928?tab_selection=cetat&amp;query=%7B(%40ALL%5Bt%22*%22%5D)%7D&amp;tab_selection=cetat&amp;origine=cetat&amp;juridiction=CONSEIL_ETAT&amp;dateDecision=12%2F10%2F2020+%3E+12%2F10%2F2020&amp;numDecision=431314&amp;isAdvancedResult=true&amp;sortValue=DATE_DESC&amp;pageSize=10&amp;typeRecherche=date&amp;init=true&amp;page=1" TargetMode="External"/><Relationship Id="rId14" Type="http://schemas.openxmlformats.org/officeDocument/2006/relationships/hyperlink" Target="https://bofip.impots.gouv.fr/bofip/12612-PGP.html/ACTU-2020-00290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4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5401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9</cp:revision>
  <cp:lastPrinted>2020-08-04T09:31:00Z</cp:lastPrinted>
  <dcterms:created xsi:type="dcterms:W3CDTF">2020-12-01T14:30:00Z</dcterms:created>
  <dcterms:modified xsi:type="dcterms:W3CDTF">2020-12-03T09:25:00Z</dcterms:modified>
</cp:coreProperties>
</file>