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41866509"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20-0</w:t>
            </w:r>
            <w:r w:rsidR="00101E9F">
              <w:rPr>
                <w:rFonts w:ascii="Times New Roman" w:eastAsia="Times New Roman" w:hAnsi="Times New Roman"/>
                <w:noProof/>
                <w:sz w:val="20"/>
              </w:rPr>
              <w:t>9-10</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47BEA85F" w:rsidR="003565C4" w:rsidRPr="00D12904" w:rsidRDefault="00E911FE" w:rsidP="00E911FE">
            <w:pPr>
              <w:pStyle w:val="Corpsdetexte"/>
              <w:spacing w:before="0" w:after="0"/>
              <w:ind w:left="-8"/>
            </w:pPr>
            <w:r>
              <w:t>Paris</w:t>
            </w:r>
            <w:r w:rsidR="00B37B52" w:rsidRPr="00D12904">
              <w:t xml:space="preserve">, le </w:t>
            </w:r>
            <w:r w:rsidR="006970D2">
              <w:t>29</w:t>
            </w:r>
            <w:r w:rsidR="00101E9F">
              <w:t xml:space="preserve"> octobre</w:t>
            </w:r>
            <w:r w:rsidR="00F71566">
              <w:t xml:space="preserve"> </w:t>
            </w:r>
            <w:r w:rsidR="00916F7D">
              <w:t>2020</w:t>
            </w:r>
          </w:p>
        </w:tc>
      </w:tr>
    </w:tbl>
    <w:p w14:paraId="27D5BEC7" w14:textId="77777777" w:rsidR="00302BF5" w:rsidRPr="00E935A2" w:rsidRDefault="00E935A2" w:rsidP="00E935A2">
      <w:pPr>
        <w:spacing w:line="280" w:lineRule="exact"/>
        <w:jc w:val="center"/>
        <w:rPr>
          <w:b/>
        </w:rPr>
      </w:pPr>
      <w:r w:rsidRPr="00E935A2">
        <w:rPr>
          <w:b/>
        </w:rPr>
        <w:t>RÉSUMÉ DU MOIS</w:t>
      </w:r>
    </w:p>
    <w:p w14:paraId="4E04A76B" w14:textId="77777777" w:rsidR="00A15B3A" w:rsidRDefault="00A15B3A" w:rsidP="00C42CCE">
      <w:pPr>
        <w:spacing w:before="120" w:after="120" w:line="240" w:lineRule="auto"/>
      </w:pPr>
    </w:p>
    <w:p w14:paraId="23978685" w14:textId="77777777" w:rsidR="00A15B3A" w:rsidRPr="00870D41" w:rsidRDefault="00A15B3A" w:rsidP="00C42CCE">
      <w:pPr>
        <w:spacing w:before="120" w:after="120" w:line="240" w:lineRule="auto"/>
      </w:pPr>
    </w:p>
    <w:p w14:paraId="07105D35" w14:textId="77777777" w:rsidR="004378F6" w:rsidRPr="00C42CCE" w:rsidRDefault="00596118" w:rsidP="00C42CCE">
      <w:pPr>
        <w:spacing w:before="120" w:after="120" w:line="240" w:lineRule="auto"/>
        <w:rPr>
          <w:b/>
        </w:rPr>
      </w:pPr>
      <w:r w:rsidRPr="00596118">
        <w:rPr>
          <w:b/>
        </w:rPr>
        <w:t xml:space="preserve">1- Fiscalité </w:t>
      </w:r>
      <w:r w:rsidR="004378F6">
        <w:rPr>
          <w:b/>
        </w:rPr>
        <w:tab/>
      </w:r>
      <w:r w:rsidR="004533B5">
        <w:rPr>
          <w:bCs/>
        </w:rPr>
        <w:t xml:space="preserve"> </w:t>
      </w:r>
    </w:p>
    <w:p w14:paraId="19D47945" w14:textId="14E96DBB" w:rsidR="00D1561B" w:rsidRDefault="00596118" w:rsidP="00364571">
      <w:pPr>
        <w:spacing w:before="120" w:after="120" w:line="240" w:lineRule="auto"/>
        <w:ind w:left="1701" w:hanging="1701"/>
      </w:pPr>
      <w:r w:rsidRPr="00122165">
        <w:rPr>
          <w:b/>
        </w:rPr>
        <w:t>IS :</w:t>
      </w:r>
      <w:r w:rsidR="00D47E79">
        <w:t xml:space="preserve"> </w:t>
      </w:r>
      <w:r w:rsidR="00D47E79">
        <w:tab/>
      </w:r>
      <w:r w:rsidR="006970D2">
        <w:t>Rien à signaler</w:t>
      </w:r>
    </w:p>
    <w:p w14:paraId="073D1CB1" w14:textId="70E5F815" w:rsidR="00916F7D" w:rsidRDefault="00596118" w:rsidP="00596118">
      <w:pPr>
        <w:spacing w:before="120" w:after="120" w:line="240" w:lineRule="auto"/>
        <w:ind w:left="1701" w:hanging="1701"/>
      </w:pPr>
      <w:r w:rsidRPr="00122165">
        <w:rPr>
          <w:b/>
        </w:rPr>
        <w:t>TVA :</w:t>
      </w:r>
      <w:r w:rsidR="00DB56D6">
        <w:t xml:space="preserve"> </w:t>
      </w:r>
      <w:r w:rsidR="00DB56D6">
        <w:tab/>
      </w:r>
      <w:r w:rsidR="00790A4C">
        <w:t xml:space="preserve">Chaque lot d’un immeuble peut donner lieu à option pour la TVA sur leur location – Un immeuble bâti revendu en terrain à bâtir relève de la TVA sur le prix et non pas sur la marge – TVA sur indemnité de rupture du contrat si elle comporte une contrepartie </w:t>
      </w:r>
      <w:r w:rsidR="006970D2">
        <w:t>– Neutralité fiscale d’une cession de contrat de VEFA -</w:t>
      </w:r>
    </w:p>
    <w:p w14:paraId="4E8276DC" w14:textId="5774FE79" w:rsidR="001261C0" w:rsidRDefault="00596118" w:rsidP="007B0F69">
      <w:pPr>
        <w:spacing w:before="120" w:after="120" w:line="240" w:lineRule="auto"/>
        <w:ind w:left="1701" w:hanging="1701"/>
      </w:pPr>
      <w:r w:rsidRPr="00122165">
        <w:rPr>
          <w:b/>
        </w:rPr>
        <w:t>Locaux :</w:t>
      </w:r>
      <w:r w:rsidR="004A7406">
        <w:tab/>
      </w:r>
      <w:r w:rsidR="006970D2">
        <w:t>Rien à signaler</w:t>
      </w:r>
    </w:p>
    <w:p w14:paraId="7E16B77A" w14:textId="5333044A" w:rsidR="004A7406" w:rsidRDefault="00596118" w:rsidP="00596118">
      <w:pPr>
        <w:spacing w:before="120" w:after="120" w:line="240" w:lineRule="auto"/>
        <w:ind w:left="1701" w:hanging="1701"/>
      </w:pPr>
      <w:r w:rsidRPr="00122165">
        <w:rPr>
          <w:b/>
        </w:rPr>
        <w:t>TS :</w:t>
      </w:r>
      <w:r>
        <w:t xml:space="preserve"> </w:t>
      </w:r>
      <w:r>
        <w:tab/>
      </w:r>
      <w:r w:rsidR="007321A7">
        <w:t>Rien à signaler</w:t>
      </w:r>
    </w:p>
    <w:p w14:paraId="4889B031" w14:textId="4A8D0512" w:rsidR="00B50E23" w:rsidRDefault="00596118" w:rsidP="00B50E23">
      <w:pPr>
        <w:spacing w:before="120" w:after="120" w:line="240" w:lineRule="auto"/>
        <w:ind w:left="1701" w:hanging="1701"/>
      </w:pPr>
      <w:r w:rsidRPr="00122165">
        <w:rPr>
          <w:b/>
        </w:rPr>
        <w:t>Divers</w:t>
      </w:r>
      <w:r w:rsidR="004A7406">
        <w:t xml:space="preserve"> :</w:t>
      </w:r>
      <w:r w:rsidR="004A7406">
        <w:tab/>
      </w:r>
      <w:r w:rsidR="006970D2">
        <w:t>Rien à signaler</w:t>
      </w:r>
    </w:p>
    <w:p w14:paraId="65391ECA" w14:textId="77777777" w:rsidR="00A05CA0" w:rsidRDefault="00A05CA0" w:rsidP="002976C6">
      <w:pPr>
        <w:spacing w:before="120" w:after="120" w:line="240" w:lineRule="auto"/>
      </w:pPr>
    </w:p>
    <w:p w14:paraId="5B5F272A" w14:textId="77777777" w:rsidR="00596118" w:rsidRPr="00596118" w:rsidRDefault="00596118" w:rsidP="00596118">
      <w:pPr>
        <w:spacing w:before="120" w:after="120" w:line="240" w:lineRule="auto"/>
        <w:ind w:left="1701" w:hanging="1701"/>
        <w:rPr>
          <w:b/>
        </w:rPr>
      </w:pPr>
      <w:r w:rsidRPr="00596118">
        <w:rPr>
          <w:b/>
        </w:rPr>
        <w:t xml:space="preserve">2- Comptabilité </w:t>
      </w:r>
    </w:p>
    <w:p w14:paraId="6C6E52CB" w14:textId="77777777" w:rsidR="00B54BDA" w:rsidRDefault="00596118" w:rsidP="005A391C">
      <w:pPr>
        <w:spacing w:before="120" w:after="120" w:line="240" w:lineRule="auto"/>
        <w:ind w:left="1701" w:hanging="1701"/>
      </w:pPr>
      <w:r w:rsidRPr="00122165">
        <w:rPr>
          <w:b/>
        </w:rPr>
        <w:t>Publique :</w:t>
      </w:r>
      <w:r w:rsidR="00B00EF7">
        <w:t xml:space="preserve"> </w:t>
      </w:r>
      <w:r w:rsidR="00B00EF7">
        <w:tab/>
      </w:r>
      <w:r w:rsidR="00A15B3A">
        <w:t>Rien à signaler</w:t>
      </w:r>
    </w:p>
    <w:p w14:paraId="5F6B1C19" w14:textId="1CF37F39" w:rsidR="005A391C" w:rsidRDefault="00596118" w:rsidP="005A391C">
      <w:pPr>
        <w:spacing w:before="120" w:after="120" w:line="240" w:lineRule="auto"/>
        <w:ind w:left="1701" w:hanging="1701"/>
      </w:pPr>
      <w:r w:rsidRPr="00122165">
        <w:rPr>
          <w:b/>
        </w:rPr>
        <w:t>Privée :</w:t>
      </w:r>
      <w:r w:rsidR="00B00EF7">
        <w:t xml:space="preserve"> </w:t>
      </w:r>
      <w:r w:rsidR="00B00EF7">
        <w:tab/>
      </w:r>
      <w:r w:rsidR="00790A4C">
        <w:t>La production de l’ANC : plan comptable – comptes consolidés – Affacturage inversé – Informations à fournir – CNCC : les commissaires aux comptes d’une SAC et leurs comptes combinés -</w:t>
      </w:r>
    </w:p>
    <w:p w14:paraId="2B21C9B8" w14:textId="77777777" w:rsidR="00596118" w:rsidRDefault="00596118" w:rsidP="005A391C">
      <w:pPr>
        <w:spacing w:before="120" w:after="120" w:line="240" w:lineRule="auto"/>
      </w:pPr>
    </w:p>
    <w:p w14:paraId="4A445B21" w14:textId="77777777" w:rsidR="00596118" w:rsidRPr="00596118" w:rsidRDefault="00596118" w:rsidP="00596118">
      <w:pPr>
        <w:spacing w:before="120" w:after="120" w:line="240" w:lineRule="auto"/>
        <w:ind w:left="1701" w:hanging="1701"/>
        <w:rPr>
          <w:b/>
        </w:rPr>
      </w:pPr>
      <w:r w:rsidRPr="00596118">
        <w:rPr>
          <w:b/>
        </w:rPr>
        <w:t xml:space="preserve">3- Réglementation </w:t>
      </w:r>
    </w:p>
    <w:p w14:paraId="3B68DF2C" w14:textId="4D4CAE53" w:rsidR="00B54BDA" w:rsidRDefault="00596118" w:rsidP="00B54BDA">
      <w:pPr>
        <w:spacing w:before="120" w:after="120" w:line="240" w:lineRule="auto"/>
        <w:ind w:left="1701" w:hanging="1701"/>
      </w:pPr>
      <w:r w:rsidRPr="00122165">
        <w:rPr>
          <w:b/>
        </w:rPr>
        <w:t>Textes :</w:t>
      </w:r>
      <w:r>
        <w:t xml:space="preserve"> </w:t>
      </w:r>
      <w:r w:rsidR="00223947">
        <w:tab/>
      </w:r>
      <w:r w:rsidR="00790A4C">
        <w:t xml:space="preserve">Les modalités du détachement d’office des fonctionnaires – Les achats sur factures des denrées alimentaires – Faire de la publicité pour les subventions consenties </w:t>
      </w:r>
      <w:r w:rsidR="006970D2">
        <w:t>– Modification du régime des avances des marchés publics -</w:t>
      </w:r>
    </w:p>
    <w:p w14:paraId="41468130" w14:textId="26876826" w:rsidR="006B1E5F" w:rsidRDefault="00596118" w:rsidP="00FA7730">
      <w:pPr>
        <w:spacing w:before="120" w:after="120" w:line="240" w:lineRule="auto"/>
        <w:ind w:left="1701" w:hanging="1701"/>
      </w:pPr>
      <w:r w:rsidRPr="00122165">
        <w:rPr>
          <w:b/>
        </w:rPr>
        <w:t>Réponses :</w:t>
      </w:r>
      <w:r>
        <w:t xml:space="preserve"> </w:t>
      </w:r>
      <w:r w:rsidR="00223947">
        <w:tab/>
      </w:r>
      <w:r w:rsidR="00790A4C">
        <w:t>Garanties d’emprunts possibles pour le logement des gendarmes des SEM – Pas de limite pour les pénalités de remboursement anticipé d’emprunts des collectivités publiques – Avoir un fonds de commerce sur le domaine public – La commune peut garantir un emprunt de sa régie -</w:t>
      </w:r>
    </w:p>
    <w:p w14:paraId="48D6DEFC" w14:textId="5E8A69B3" w:rsidR="00CE269F" w:rsidRDefault="00596118" w:rsidP="00591898">
      <w:pPr>
        <w:spacing w:before="120" w:after="120" w:line="240" w:lineRule="auto"/>
        <w:ind w:left="1701" w:hanging="1701"/>
      </w:pPr>
      <w:r w:rsidRPr="004E2169">
        <w:rPr>
          <w:b/>
          <w:spacing w:val="-8"/>
        </w:rPr>
        <w:t>Jurisprudence :</w:t>
      </w:r>
      <w:r>
        <w:t xml:space="preserve"> </w:t>
      </w:r>
      <w:r w:rsidR="00223947">
        <w:tab/>
      </w:r>
      <w:r w:rsidR="00790A4C">
        <w:t xml:space="preserve">Les actes interruptifs de la prescription quadriennale relèvent de la responsabilité du comptable public </w:t>
      </w:r>
      <w:r w:rsidR="006970D2">
        <w:t>– Pas de TVA sur les subventions publiques si les contreparties ne sont pas individualisées -</w:t>
      </w:r>
    </w:p>
    <w:p w14:paraId="76354D80" w14:textId="36CE70E1" w:rsidR="00004382" w:rsidRDefault="00596118" w:rsidP="00004382">
      <w:pPr>
        <w:spacing w:before="120" w:after="120" w:line="240" w:lineRule="auto"/>
        <w:ind w:left="1701" w:hanging="1701"/>
      </w:pPr>
      <w:r w:rsidRPr="00122165">
        <w:rPr>
          <w:b/>
        </w:rPr>
        <w:t>Divers :</w:t>
      </w:r>
      <w:r>
        <w:t xml:space="preserve"> </w:t>
      </w:r>
      <w:r>
        <w:tab/>
      </w:r>
      <w:r w:rsidR="00790A4C">
        <w:t>Le rapport de haute autorité pour la transparence de la vie publique -</w:t>
      </w:r>
    </w:p>
    <w:p w14:paraId="77F778DB" w14:textId="77777777" w:rsidR="00303BBA" w:rsidRDefault="00303BBA" w:rsidP="00004382">
      <w:pPr>
        <w:spacing w:before="120" w:after="120" w:line="240" w:lineRule="auto"/>
        <w:ind w:left="1701" w:hanging="1701"/>
      </w:pPr>
    </w:p>
    <w:p w14:paraId="75EB0D2D" w14:textId="11097543" w:rsidR="00E935A2" w:rsidRDefault="00E935A2" w:rsidP="00E0331C">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77777777" w:rsidR="00091C56" w:rsidRDefault="00D67DFD" w:rsidP="003A0560">
      <w:pPr>
        <w:spacing w:before="120" w:after="0" w:line="240" w:lineRule="auto"/>
        <w:rPr>
          <w:rFonts w:cs="Times"/>
          <w:b/>
          <w:szCs w:val="24"/>
        </w:rPr>
      </w:pPr>
      <w:r w:rsidRPr="006320BB">
        <w:rPr>
          <w:rFonts w:cs="Times"/>
          <w:b/>
          <w:szCs w:val="24"/>
        </w:rPr>
        <w:t>1</w:t>
      </w:r>
      <w:r w:rsidR="00E935A2" w:rsidRPr="006320BB">
        <w:rPr>
          <w:rFonts w:cs="Times"/>
          <w:b/>
          <w:szCs w:val="24"/>
        </w:rPr>
        <w:t>.1</w:t>
      </w:r>
      <w:r w:rsidR="00E935A2" w:rsidRPr="006320BB">
        <w:rPr>
          <w:rFonts w:cs="Times"/>
          <w:b/>
          <w:szCs w:val="24"/>
        </w:rPr>
        <w:tab/>
        <w:t>Impôt sur les sociétés</w:t>
      </w:r>
    </w:p>
    <w:p w14:paraId="38C830FC" w14:textId="794986F0" w:rsidR="008441AC" w:rsidRDefault="006970D2" w:rsidP="009F702B">
      <w:pPr>
        <w:spacing w:before="120" w:after="0" w:line="240" w:lineRule="auto"/>
        <w:rPr>
          <w:rFonts w:cs="Times"/>
          <w:color w:val="003300"/>
          <w:szCs w:val="24"/>
          <w:u w:val="single"/>
        </w:rPr>
      </w:pPr>
      <w:r>
        <w:rPr>
          <w:rFonts w:cs="Times"/>
          <w:color w:val="003300"/>
          <w:szCs w:val="24"/>
        </w:rPr>
        <w:t>Rien à signaler</w:t>
      </w:r>
    </w:p>
    <w:p w14:paraId="62E80419" w14:textId="4978C270" w:rsidR="00516DD0" w:rsidRPr="00D61BAB" w:rsidRDefault="00516DD0" w:rsidP="009F702B">
      <w:pPr>
        <w:spacing w:before="120" w:after="0" w:line="240" w:lineRule="auto"/>
        <w:rPr>
          <w:rFonts w:cs="Times"/>
          <w:b/>
          <w:szCs w:val="24"/>
        </w:rPr>
      </w:pPr>
      <w:r w:rsidRPr="00D61BAB">
        <w:rPr>
          <w:rFonts w:cs="Times"/>
          <w:b/>
          <w:szCs w:val="24"/>
        </w:rPr>
        <w:t>1.2</w:t>
      </w:r>
      <w:r w:rsidRPr="00D61BAB">
        <w:rPr>
          <w:rFonts w:cs="Times"/>
          <w:b/>
          <w:szCs w:val="24"/>
        </w:rPr>
        <w:tab/>
        <w:t>TVA</w:t>
      </w:r>
    </w:p>
    <w:p w14:paraId="465D29E9" w14:textId="325EF6BA" w:rsidR="00925BD4" w:rsidRDefault="004C3414" w:rsidP="002D38A3">
      <w:pPr>
        <w:spacing w:before="120" w:after="0" w:line="240" w:lineRule="auto"/>
        <w:rPr>
          <w:rFonts w:cs="Times"/>
          <w:color w:val="003300"/>
          <w:szCs w:val="24"/>
        </w:rPr>
      </w:pPr>
      <w:r w:rsidRPr="004C3414">
        <w:rPr>
          <w:rFonts w:cs="Times"/>
          <w:color w:val="003300"/>
          <w:szCs w:val="24"/>
          <w:u w:val="single"/>
        </w:rPr>
        <w:t>Option pour la TVA des locations d’immeubles nus</w:t>
      </w:r>
      <w:r>
        <w:rPr>
          <w:rFonts w:cs="Times"/>
          <w:color w:val="003300"/>
          <w:szCs w:val="24"/>
        </w:rPr>
        <w:t xml:space="preserve"> – Selon cet arrêt, l’option n’est pas forcément pour l’ensemble de l’immeuble.</w:t>
      </w:r>
    </w:p>
    <w:p w14:paraId="29796CFE" w14:textId="7AFBA1D3" w:rsidR="004C3414" w:rsidRPr="008441AC" w:rsidRDefault="003D703C" w:rsidP="004C3414">
      <w:pPr>
        <w:spacing w:before="120" w:after="0" w:line="240" w:lineRule="auto"/>
        <w:ind w:left="567"/>
        <w:rPr>
          <w:rFonts w:cs="Times"/>
          <w:i/>
          <w:iCs/>
          <w:color w:val="0000FF"/>
          <w:szCs w:val="24"/>
        </w:rPr>
      </w:pPr>
      <w:hyperlink r:id="rId8" w:anchor="cetat" w:history="1">
        <w:r w:rsidR="004C3414" w:rsidRPr="008441AC">
          <w:rPr>
            <w:rStyle w:val="Lienhypertexte"/>
            <w:rFonts w:cs="Times"/>
            <w:i/>
            <w:iCs/>
            <w:szCs w:val="24"/>
          </w:rPr>
          <w:t>CE, 9 septembre 2020, n° 439143</w:t>
        </w:r>
      </w:hyperlink>
    </w:p>
    <w:p w14:paraId="0C0B0B0E" w14:textId="431F77F6" w:rsidR="004C3414" w:rsidRDefault="008441AC" w:rsidP="004C3414">
      <w:pPr>
        <w:spacing w:before="120" w:after="0" w:line="240" w:lineRule="auto"/>
        <w:rPr>
          <w:rFonts w:cs="Times"/>
          <w:color w:val="003300"/>
          <w:szCs w:val="24"/>
        </w:rPr>
      </w:pPr>
      <w:r w:rsidRPr="00732790">
        <w:rPr>
          <w:rFonts w:cs="Times"/>
          <w:color w:val="003300"/>
          <w:szCs w:val="24"/>
          <w:u w:val="single"/>
        </w:rPr>
        <w:t>T</w:t>
      </w:r>
      <w:r>
        <w:rPr>
          <w:rFonts w:cs="Times"/>
          <w:color w:val="003300"/>
          <w:szCs w:val="24"/>
          <w:u w:val="single"/>
        </w:rPr>
        <w:t>VA sur marge</w:t>
      </w:r>
      <w:r w:rsidR="004C3414">
        <w:rPr>
          <w:rFonts w:cs="Times"/>
          <w:color w:val="003300"/>
          <w:szCs w:val="24"/>
        </w:rPr>
        <w:t xml:space="preserve"> – </w:t>
      </w:r>
      <w:r>
        <w:rPr>
          <w:rFonts w:cs="Times"/>
          <w:color w:val="003300"/>
          <w:szCs w:val="24"/>
        </w:rPr>
        <w:t>Encore un épisode : la vente terrain à bâtir provenant de l’acquisition d’un immeuble bâti transformé relève de la TVA sur le prix.</w:t>
      </w:r>
    </w:p>
    <w:p w14:paraId="4F61B1A1" w14:textId="4903A842" w:rsidR="004C3414" w:rsidRDefault="003D703C" w:rsidP="008441AC">
      <w:pPr>
        <w:spacing w:before="120" w:after="0" w:line="240" w:lineRule="auto"/>
        <w:ind w:left="567"/>
        <w:rPr>
          <w:rStyle w:val="Lienhypertexte"/>
          <w:rFonts w:cs="Times"/>
          <w:i/>
          <w:iCs/>
          <w:szCs w:val="24"/>
        </w:rPr>
      </w:pPr>
      <w:hyperlink r:id="rId9" w:history="1">
        <w:r w:rsidR="008441AC" w:rsidRPr="008441AC">
          <w:rPr>
            <w:rStyle w:val="Lienhypertexte"/>
            <w:rFonts w:cs="Times"/>
            <w:i/>
            <w:iCs/>
            <w:szCs w:val="24"/>
          </w:rPr>
          <w:t>Conseil d'État, 8ème chambre, 01/07/2020, 431641</w:t>
        </w:r>
      </w:hyperlink>
    </w:p>
    <w:p w14:paraId="6AA1BAC4" w14:textId="6FAAA1D3" w:rsidR="00732790" w:rsidRDefault="00732790" w:rsidP="00732790">
      <w:pPr>
        <w:spacing w:before="120" w:after="0" w:line="240" w:lineRule="auto"/>
        <w:rPr>
          <w:rFonts w:cs="Times"/>
          <w:color w:val="003300"/>
          <w:szCs w:val="24"/>
        </w:rPr>
      </w:pPr>
      <w:r>
        <w:rPr>
          <w:rFonts w:cs="Times"/>
          <w:color w:val="003300"/>
          <w:szCs w:val="24"/>
          <w:u w:val="single"/>
        </w:rPr>
        <w:t>Indemnité de résiliation</w:t>
      </w:r>
      <w:r>
        <w:rPr>
          <w:rFonts w:cs="Times"/>
          <w:color w:val="003300"/>
          <w:szCs w:val="24"/>
        </w:rPr>
        <w:t xml:space="preserve"> – Elle est soumise à la TVA si elle comporte une contrepartie.</w:t>
      </w:r>
    </w:p>
    <w:p w14:paraId="2C5AB64F" w14:textId="2C7AC256" w:rsidR="00732790" w:rsidRPr="00732790" w:rsidRDefault="003D703C" w:rsidP="008441AC">
      <w:pPr>
        <w:spacing w:before="120" w:after="0" w:line="240" w:lineRule="auto"/>
        <w:ind w:left="567"/>
        <w:rPr>
          <w:rFonts w:cs="Times"/>
          <w:i/>
          <w:iCs/>
          <w:szCs w:val="24"/>
        </w:rPr>
      </w:pPr>
      <w:hyperlink r:id="rId10" w:history="1">
        <w:r w:rsidR="00732790" w:rsidRPr="00732790">
          <w:rPr>
            <w:rStyle w:val="Lienhypertexte"/>
          </w:rPr>
          <w:t xml:space="preserve">CJUE 11-6-2020 </w:t>
        </w:r>
        <w:proofErr w:type="spellStart"/>
        <w:r w:rsidR="00732790" w:rsidRPr="00732790">
          <w:rPr>
            <w:rStyle w:val="Lienhypertexte"/>
          </w:rPr>
          <w:t>aff.</w:t>
        </w:r>
        <w:proofErr w:type="spellEnd"/>
        <w:r w:rsidR="00732790" w:rsidRPr="00732790">
          <w:rPr>
            <w:rStyle w:val="Lienhypertexte"/>
          </w:rPr>
          <w:t xml:space="preserve"> 43/19</w:t>
        </w:r>
      </w:hyperlink>
      <w:r w:rsidR="00732790" w:rsidRPr="00732790">
        <w:t xml:space="preserve">, Vodafone Portugal </w:t>
      </w:r>
      <w:proofErr w:type="spellStart"/>
      <w:r w:rsidR="00732790" w:rsidRPr="00732790">
        <w:t>Comunicações</w:t>
      </w:r>
      <w:proofErr w:type="spellEnd"/>
      <w:r w:rsidR="00732790" w:rsidRPr="00732790">
        <w:t xml:space="preserve"> </w:t>
      </w:r>
      <w:proofErr w:type="spellStart"/>
      <w:r w:rsidR="00732790" w:rsidRPr="00732790">
        <w:t>Pessoais</w:t>
      </w:r>
      <w:proofErr w:type="spellEnd"/>
      <w:r w:rsidR="00732790" w:rsidRPr="00732790">
        <w:t xml:space="preserve"> : RJF 10/20 n° 843</w:t>
      </w:r>
    </w:p>
    <w:p w14:paraId="65716984" w14:textId="11B7BCA2" w:rsidR="00863FDD" w:rsidRPr="00863FDD" w:rsidRDefault="00863FDD" w:rsidP="00863FDD">
      <w:pPr>
        <w:spacing w:before="120" w:after="0" w:line="240" w:lineRule="auto"/>
        <w:rPr>
          <w:rFonts w:cs="Times"/>
          <w:color w:val="003300"/>
          <w:szCs w:val="24"/>
        </w:rPr>
      </w:pPr>
      <w:r>
        <w:rPr>
          <w:rFonts w:cs="Times"/>
          <w:color w:val="003300"/>
          <w:szCs w:val="24"/>
          <w:u w:val="single"/>
        </w:rPr>
        <w:t>Cession d’une VEFA</w:t>
      </w:r>
      <w:r>
        <w:rPr>
          <w:rFonts w:cs="Times"/>
          <w:color w:val="003300"/>
          <w:szCs w:val="24"/>
        </w:rPr>
        <w:t xml:space="preserve"> – </w:t>
      </w:r>
      <w:r>
        <w:rPr>
          <w:rFonts w:cs="Times"/>
          <w:color w:val="003300"/>
          <w:szCs w:val="24"/>
        </w:rPr>
        <w:t>Neutralité fiscale, y compris sur l’application du taux réduit/</w:t>
      </w:r>
    </w:p>
    <w:p w14:paraId="43450C16" w14:textId="77777777" w:rsidR="00863FDD" w:rsidRPr="00863FDD" w:rsidRDefault="00863FDD" w:rsidP="00863FDD">
      <w:pPr>
        <w:pStyle w:val="NormalWeb"/>
        <w:shd w:val="clear" w:color="auto" w:fill="FFFFFF"/>
        <w:spacing w:before="120" w:after="0"/>
        <w:ind w:left="567"/>
        <w:jc w:val="both"/>
        <w:rPr>
          <w:i/>
          <w:iCs/>
          <w:color w:val="333333"/>
        </w:rPr>
      </w:pPr>
      <w:hyperlink r:id="rId11" w:tooltip="28/10/2020 : TVA - IMM - Conséquences du transfert d'un contrat de vente en l'état futur d'achèvement dans le secteur du logement intermédiaire - Rescrit" w:history="1">
        <w:r w:rsidRPr="00863FDD">
          <w:rPr>
            <w:rStyle w:val="Lienhypertexte"/>
            <w:i/>
            <w:iCs/>
          </w:rPr>
          <w:t>28/10/2020 : TVA - IMM - Conséquences du transfert d'un contrat de vente en l'état futur d'achèvement dans le secteur du logement intermédiaire - Rescrit</w:t>
        </w:r>
      </w:hyperlink>
    </w:p>
    <w:p w14:paraId="6CE58C92" w14:textId="12A68254" w:rsidR="00FF358C" w:rsidRPr="006320BB" w:rsidRDefault="00FF358C" w:rsidP="006320BB">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76820C5C" w14:textId="56B46BE9" w:rsidR="00101E9F" w:rsidRPr="006970D2" w:rsidRDefault="006970D2" w:rsidP="00EC3CD6">
      <w:pPr>
        <w:spacing w:before="120" w:after="0" w:line="240" w:lineRule="auto"/>
        <w:rPr>
          <w:rFonts w:cs="Times"/>
          <w:color w:val="003300"/>
          <w:szCs w:val="24"/>
        </w:rPr>
      </w:pPr>
      <w:r w:rsidRPr="006970D2">
        <w:rPr>
          <w:rFonts w:cs="Times"/>
          <w:color w:val="003300"/>
          <w:szCs w:val="24"/>
        </w:rPr>
        <w:t>Rien à signaler</w:t>
      </w:r>
    </w:p>
    <w:p w14:paraId="0C3E1935" w14:textId="42CABB59" w:rsidR="00064C94" w:rsidRPr="006320BB" w:rsidRDefault="00064C94" w:rsidP="00EC3CD6">
      <w:pPr>
        <w:spacing w:before="120" w:after="0" w:line="240" w:lineRule="auto"/>
        <w:rPr>
          <w:rFonts w:cs="Times"/>
          <w:b/>
          <w:szCs w:val="24"/>
        </w:rPr>
      </w:pPr>
      <w:r w:rsidRPr="006320BB">
        <w:rPr>
          <w:rFonts w:cs="Times"/>
          <w:b/>
          <w:szCs w:val="24"/>
        </w:rPr>
        <w:t>1.4</w:t>
      </w:r>
      <w:r w:rsidRPr="006320BB">
        <w:rPr>
          <w:rFonts w:cs="Times"/>
          <w:b/>
          <w:szCs w:val="24"/>
        </w:rPr>
        <w:tab/>
        <w:t>Taxes sur les salaires</w:t>
      </w:r>
    </w:p>
    <w:p w14:paraId="059350D2" w14:textId="4902D220" w:rsidR="00EA117D" w:rsidRDefault="006970D2" w:rsidP="00876847">
      <w:pPr>
        <w:spacing w:before="120" w:after="0" w:line="240" w:lineRule="auto"/>
        <w:rPr>
          <w:rFonts w:cs="Times"/>
          <w:color w:val="003300"/>
          <w:szCs w:val="24"/>
        </w:rPr>
      </w:pPr>
      <w:r w:rsidRPr="006970D2">
        <w:rPr>
          <w:rFonts w:cs="Times"/>
          <w:color w:val="003300"/>
          <w:szCs w:val="24"/>
        </w:rPr>
        <w:t>Rien à signaler</w:t>
      </w:r>
    </w:p>
    <w:p w14:paraId="20AC9049" w14:textId="4EA0B02B" w:rsidR="00876847" w:rsidRDefault="00BA1DA3" w:rsidP="00876847">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73BFEC1F" w14:textId="18E0C7EF" w:rsidR="0017792F" w:rsidRPr="006970D2" w:rsidRDefault="006970D2" w:rsidP="002F416C">
      <w:pPr>
        <w:spacing w:before="120" w:after="0" w:line="240" w:lineRule="auto"/>
        <w:rPr>
          <w:rFonts w:cs="Times"/>
          <w:color w:val="003300"/>
          <w:szCs w:val="24"/>
        </w:rPr>
      </w:pPr>
      <w:r w:rsidRPr="006970D2">
        <w:rPr>
          <w:rFonts w:cs="Times"/>
          <w:color w:val="003300"/>
          <w:szCs w:val="24"/>
        </w:rPr>
        <w:t>Rien à signaler</w:t>
      </w:r>
    </w:p>
    <w:p w14:paraId="58C23D5C" w14:textId="77777777" w:rsidR="00EA117D" w:rsidRDefault="00EA117D" w:rsidP="002F416C">
      <w:pPr>
        <w:spacing w:before="120" w:after="0" w:line="240" w:lineRule="auto"/>
        <w:rPr>
          <w:rFonts w:cs="Times"/>
          <w:b/>
          <w:szCs w:val="24"/>
        </w:rPr>
      </w:pPr>
    </w:p>
    <w:p w14:paraId="20C76B2E" w14:textId="124A42BD" w:rsidR="00E935A2" w:rsidRPr="006320BB" w:rsidRDefault="00E935A2" w:rsidP="002F416C">
      <w:pPr>
        <w:spacing w:before="120" w:after="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77777777" w:rsidR="006C5598" w:rsidRPr="006320BB" w:rsidRDefault="00E935A2" w:rsidP="002F416C">
      <w:pPr>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256B3D14" w14:textId="77777777" w:rsidR="00433A4A" w:rsidRPr="00A15B3A" w:rsidRDefault="00A15B3A" w:rsidP="002F416C">
      <w:pPr>
        <w:spacing w:before="120" w:after="0" w:line="240" w:lineRule="auto"/>
        <w:rPr>
          <w:rFonts w:cs="Times"/>
          <w:color w:val="003300"/>
          <w:szCs w:val="24"/>
        </w:rPr>
      </w:pPr>
      <w:r w:rsidRPr="004533B5">
        <w:rPr>
          <w:rFonts w:cs="Times"/>
          <w:color w:val="003300"/>
          <w:szCs w:val="24"/>
        </w:rPr>
        <w:t>Rien à signaler</w:t>
      </w:r>
    </w:p>
    <w:p w14:paraId="1E12E0B0" w14:textId="77777777" w:rsidR="00925661" w:rsidRDefault="00E935A2" w:rsidP="002F416C">
      <w:pPr>
        <w:spacing w:before="120" w:after="0" w:line="240" w:lineRule="auto"/>
        <w:rPr>
          <w:rFonts w:cs="Times"/>
          <w:b/>
          <w:szCs w:val="24"/>
        </w:rPr>
      </w:pPr>
      <w:r w:rsidRPr="006320BB">
        <w:rPr>
          <w:rFonts w:cs="Times"/>
          <w:b/>
          <w:szCs w:val="24"/>
        </w:rPr>
        <w:t>2.2</w:t>
      </w:r>
      <w:r w:rsidRPr="006320BB">
        <w:rPr>
          <w:rFonts w:cs="Times"/>
          <w:b/>
          <w:szCs w:val="24"/>
        </w:rPr>
        <w:tab/>
        <w:t>Comptabilité privée</w:t>
      </w:r>
    </w:p>
    <w:p w14:paraId="75C7A7D6" w14:textId="5A140ED0" w:rsidR="00CD2E85" w:rsidRDefault="001169DF" w:rsidP="002F416C">
      <w:pPr>
        <w:spacing w:before="120" w:after="0" w:line="240" w:lineRule="auto"/>
        <w:rPr>
          <w:rFonts w:cs="Times"/>
          <w:color w:val="003300"/>
          <w:szCs w:val="24"/>
        </w:rPr>
      </w:pPr>
      <w:r w:rsidRPr="001169DF">
        <w:rPr>
          <w:rFonts w:cs="Times"/>
          <w:color w:val="003300"/>
          <w:szCs w:val="24"/>
          <w:u w:val="single"/>
        </w:rPr>
        <w:t xml:space="preserve">ANC </w:t>
      </w:r>
      <w:r>
        <w:rPr>
          <w:rFonts w:cs="Times"/>
          <w:color w:val="003300"/>
          <w:szCs w:val="24"/>
        </w:rPr>
        <w:t>– La production de la période.</w:t>
      </w:r>
    </w:p>
    <w:p w14:paraId="7C9CE241" w14:textId="1E35E58B" w:rsidR="001169DF" w:rsidRPr="001169DF" w:rsidRDefault="003D703C" w:rsidP="001169DF">
      <w:pPr>
        <w:pStyle w:val="NormalWeb"/>
        <w:shd w:val="clear" w:color="auto" w:fill="FFFFFF"/>
        <w:spacing w:before="120" w:after="0"/>
        <w:ind w:left="567"/>
        <w:jc w:val="both"/>
        <w:rPr>
          <w:i/>
          <w:iCs/>
          <w:color w:val="232B3A"/>
        </w:rPr>
      </w:pPr>
      <w:hyperlink r:id="rId12" w:tgtFrame="_blank" w:tooltip="Reglt_2020_05_PSAN" w:history="1">
        <w:r w:rsidR="001169DF" w:rsidRPr="001169DF">
          <w:rPr>
            <w:rStyle w:val="Lienhypertexte"/>
            <w:i/>
            <w:iCs/>
          </w:rPr>
          <w:t>Règlement N° 2020-05 du 24 juillet 2020 modifiant le règlement ANC N° 2014-03 du 5 juin 2014 </w:t>
        </w:r>
      </w:hyperlink>
      <w:r w:rsidR="001169DF" w:rsidRPr="001169DF">
        <w:rPr>
          <w:i/>
          <w:iCs/>
          <w:color w:val="232B3A"/>
        </w:rPr>
        <w:t xml:space="preserve">relatif au plan comptable général modifié </w:t>
      </w:r>
    </w:p>
    <w:p w14:paraId="749D01EF" w14:textId="77777777" w:rsidR="001169DF" w:rsidRPr="001169DF" w:rsidRDefault="003D703C" w:rsidP="001169DF">
      <w:pPr>
        <w:pStyle w:val="NormalWeb"/>
        <w:shd w:val="clear" w:color="auto" w:fill="FFFFFF"/>
        <w:spacing w:before="120" w:after="0"/>
        <w:ind w:left="567"/>
        <w:jc w:val="both"/>
        <w:rPr>
          <w:i/>
          <w:iCs/>
          <w:color w:val="0000FF"/>
        </w:rPr>
      </w:pPr>
      <w:hyperlink r:id="rId13" w:tgtFrame="_blank" w:tooltip="Reglt_2020_06_cptes-conso-stes-commerciales_entreprises-publiques" w:history="1">
        <w:r w:rsidR="001169DF" w:rsidRPr="001169DF">
          <w:rPr>
            <w:rStyle w:val="Lienhypertexte"/>
            <w:i/>
            <w:iCs/>
          </w:rPr>
          <w:t>Règlement N° 2020-06 du 9 Octobre 2020 modifiant le règlement CRC N° 99-02 relatif aux comptes consolidés des sociétés commerciales et entreprises publiques</w:t>
        </w:r>
      </w:hyperlink>
    </w:p>
    <w:p w14:paraId="59C44776" w14:textId="77777777" w:rsidR="001169DF" w:rsidRPr="001169DF" w:rsidRDefault="003D703C" w:rsidP="001169DF">
      <w:pPr>
        <w:pStyle w:val="NormalWeb"/>
        <w:shd w:val="clear" w:color="auto" w:fill="FFFFFF"/>
        <w:spacing w:before="120" w:after="0"/>
        <w:ind w:left="567"/>
        <w:jc w:val="both"/>
        <w:rPr>
          <w:i/>
          <w:iCs/>
          <w:color w:val="0000FF"/>
        </w:rPr>
      </w:pPr>
      <w:hyperlink r:id="rId14" w:tgtFrame="_blank" w:tooltip="Letter_ANC-Reverse-Factoring-Sept-2020" w:history="1">
        <w:r w:rsidR="001169DF" w:rsidRPr="001169DF">
          <w:rPr>
            <w:rStyle w:val="Lienhypertexte"/>
            <w:i/>
            <w:iCs/>
          </w:rPr>
          <w:t>L’ANC commente le projet de décision de l’IFRS IC du mois de juin 2020 – Affacturage inversée</w:t>
        </w:r>
      </w:hyperlink>
    </w:p>
    <w:p w14:paraId="29A6C2E6" w14:textId="77777777" w:rsidR="001169DF" w:rsidRPr="001169DF" w:rsidRDefault="003D703C" w:rsidP="001169DF">
      <w:pPr>
        <w:pStyle w:val="NormalWeb"/>
        <w:shd w:val="clear" w:color="auto" w:fill="FFFFFF"/>
        <w:spacing w:before="120" w:after="0"/>
        <w:ind w:left="567"/>
        <w:jc w:val="both"/>
        <w:rPr>
          <w:i/>
          <w:iCs/>
          <w:color w:val="232B3A"/>
        </w:rPr>
      </w:pPr>
      <w:hyperlink r:id="rId15" w:tgtFrame="_blank" w:tooltip="ANC's-comment-letter-on- IASB’s_ ED2019-7" w:history="1">
        <w:r w:rsidR="001169DF" w:rsidRPr="001169DF">
          <w:rPr>
            <w:rStyle w:val="Lienhypertexte"/>
            <w:i/>
            <w:iCs/>
          </w:rPr>
          <w:t>Le collège de l’ANC commente l’Exposé Sondage ED/2019/7 de l’IASB relatif à un projet de dispositions générales en matière de présentation et d’informations à fournir</w:t>
        </w:r>
      </w:hyperlink>
      <w:r w:rsidR="001169DF" w:rsidRPr="001169DF">
        <w:rPr>
          <w:i/>
          <w:iCs/>
          <w:color w:val="232B3A"/>
        </w:rPr>
        <w:t xml:space="preserve"> (‘General </w:t>
      </w:r>
      <w:proofErr w:type="spellStart"/>
      <w:r w:rsidR="001169DF" w:rsidRPr="001169DF">
        <w:rPr>
          <w:i/>
          <w:iCs/>
          <w:color w:val="232B3A"/>
        </w:rPr>
        <w:t>Presentation</w:t>
      </w:r>
      <w:proofErr w:type="spellEnd"/>
      <w:r w:rsidR="001169DF" w:rsidRPr="001169DF">
        <w:rPr>
          <w:i/>
          <w:iCs/>
          <w:color w:val="232B3A"/>
        </w:rPr>
        <w:t xml:space="preserve"> and </w:t>
      </w:r>
      <w:proofErr w:type="spellStart"/>
      <w:r w:rsidR="001169DF" w:rsidRPr="001169DF">
        <w:rPr>
          <w:i/>
          <w:iCs/>
          <w:color w:val="232B3A"/>
        </w:rPr>
        <w:t>Disclosures</w:t>
      </w:r>
      <w:proofErr w:type="spellEnd"/>
      <w:r w:rsidR="001169DF" w:rsidRPr="001169DF">
        <w:rPr>
          <w:i/>
          <w:iCs/>
          <w:color w:val="232B3A"/>
        </w:rPr>
        <w:t>’)</w:t>
      </w:r>
    </w:p>
    <w:p w14:paraId="4E892631" w14:textId="44584146" w:rsidR="001169DF" w:rsidRDefault="003B18B4" w:rsidP="002F416C">
      <w:pPr>
        <w:spacing w:before="120" w:after="0" w:line="240" w:lineRule="auto"/>
        <w:rPr>
          <w:rFonts w:cs="Times"/>
          <w:color w:val="003300"/>
          <w:szCs w:val="24"/>
        </w:rPr>
      </w:pPr>
      <w:r w:rsidRPr="003B18B4">
        <w:rPr>
          <w:rFonts w:cs="Times"/>
          <w:color w:val="003300"/>
          <w:szCs w:val="24"/>
          <w:u w:val="single"/>
        </w:rPr>
        <w:lastRenderedPageBreak/>
        <w:t>CNCC –</w:t>
      </w:r>
      <w:r>
        <w:rPr>
          <w:rFonts w:cs="Times"/>
          <w:color w:val="003300"/>
          <w:szCs w:val="24"/>
        </w:rPr>
        <w:t xml:space="preserve"> La création de SAC, le nombre de commissaires aux comptes et la combinaison des comptes.</w:t>
      </w:r>
    </w:p>
    <w:p w14:paraId="03D4A9DB" w14:textId="25120B69" w:rsidR="002D38A3" w:rsidRPr="003B18B4" w:rsidRDefault="003B18B4" w:rsidP="003B18B4">
      <w:pPr>
        <w:spacing w:before="120" w:after="0" w:line="240" w:lineRule="auto"/>
        <w:ind w:left="567"/>
        <w:rPr>
          <w:rFonts w:cs="Times"/>
          <w:i/>
          <w:iCs/>
          <w:szCs w:val="24"/>
        </w:rPr>
      </w:pPr>
      <w:r>
        <w:rPr>
          <w:rFonts w:cs="Times"/>
          <w:i/>
          <w:iCs/>
          <w:szCs w:val="24"/>
        </w:rPr>
        <w:object w:dxaOrig="1520" w:dyaOrig="987" w14:anchorId="41D7E08C">
          <v:shape id="_x0000_i1045" type="#_x0000_t75" style="width:53.4pt;height:34.8pt" o:ole="">
            <v:imagedata r:id="rId16" o:title=""/>
          </v:shape>
          <o:OLEObject Type="Embed" ProgID="AcroExch.Document.DC" ShapeID="_x0000_i1045" DrawAspect="Icon" ObjectID="_1665473994" r:id="rId17"/>
        </w:object>
      </w:r>
      <w:r w:rsidRPr="003B18B4">
        <w:rPr>
          <w:rFonts w:cs="Times"/>
          <w:i/>
          <w:iCs/>
          <w:szCs w:val="24"/>
        </w:rPr>
        <w:t>EJ 2020-38 – Sociétés de coordination – comptes combinés – nomination du CAC – Nombre de CAC.</w:t>
      </w:r>
    </w:p>
    <w:p w14:paraId="0D1717A9" w14:textId="77777777" w:rsidR="003B18B4" w:rsidRPr="002D38A3" w:rsidRDefault="003B18B4" w:rsidP="002F416C">
      <w:pPr>
        <w:spacing w:before="120" w:after="0" w:line="240" w:lineRule="auto"/>
        <w:rPr>
          <w:rFonts w:cs="Times"/>
          <w:color w:val="003300"/>
          <w:szCs w:val="24"/>
        </w:rPr>
      </w:pPr>
    </w:p>
    <w:p w14:paraId="077EA3B3" w14:textId="77777777" w:rsidR="00E935A2" w:rsidRPr="006320BB" w:rsidRDefault="00E935A2" w:rsidP="002F416C">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2F416C">
      <w:pPr>
        <w:spacing w:before="120" w:after="0" w:line="240" w:lineRule="auto"/>
        <w:rPr>
          <w:rFonts w:cs="Times"/>
          <w:b/>
          <w:szCs w:val="24"/>
        </w:rPr>
      </w:pPr>
      <w:r w:rsidRPr="006320BB">
        <w:rPr>
          <w:rFonts w:cs="Times"/>
          <w:b/>
          <w:szCs w:val="24"/>
        </w:rPr>
        <w:t>3.1</w:t>
      </w:r>
      <w:r w:rsidRPr="006320BB">
        <w:rPr>
          <w:rFonts w:cs="Times"/>
          <w:b/>
          <w:szCs w:val="24"/>
        </w:rPr>
        <w:tab/>
        <w:t>Textes</w:t>
      </w:r>
    </w:p>
    <w:p w14:paraId="310CDF6F" w14:textId="683A4E81" w:rsidR="00925BD4" w:rsidRDefault="000D608B" w:rsidP="006320BB">
      <w:pPr>
        <w:spacing w:before="120" w:after="0" w:line="240" w:lineRule="auto"/>
        <w:rPr>
          <w:rFonts w:cs="Times"/>
          <w:color w:val="003300"/>
          <w:szCs w:val="24"/>
        </w:rPr>
      </w:pPr>
      <w:r w:rsidRPr="000D608B">
        <w:rPr>
          <w:rFonts w:cs="Times"/>
          <w:color w:val="003300"/>
          <w:szCs w:val="24"/>
          <w:u w:val="single"/>
        </w:rPr>
        <w:t>Fonction publique –</w:t>
      </w:r>
      <w:r>
        <w:rPr>
          <w:rFonts w:cs="Times"/>
          <w:color w:val="003300"/>
          <w:szCs w:val="24"/>
        </w:rPr>
        <w:t xml:space="preserve"> Le modalités du détachement d’office des fonctionnaires.</w:t>
      </w:r>
    </w:p>
    <w:p w14:paraId="7E84EBB3" w14:textId="17F5C333" w:rsidR="00444832" w:rsidRDefault="003D703C" w:rsidP="000D608B">
      <w:pPr>
        <w:spacing w:before="120" w:after="0" w:line="240" w:lineRule="auto"/>
        <w:ind w:left="567"/>
        <w:rPr>
          <w:rFonts w:cs="Times"/>
          <w:i/>
          <w:iCs/>
          <w:szCs w:val="24"/>
        </w:rPr>
      </w:pPr>
      <w:hyperlink r:id="rId18" w:history="1">
        <w:r w:rsidR="00444832" w:rsidRPr="000D608B">
          <w:rPr>
            <w:rStyle w:val="Lienhypertexte"/>
            <w:rFonts w:cs="Times"/>
            <w:i/>
            <w:iCs/>
            <w:szCs w:val="24"/>
          </w:rPr>
          <w:t>Décret n° 2020-714</w:t>
        </w:r>
      </w:hyperlink>
      <w:r w:rsidR="00444832" w:rsidRPr="000D608B">
        <w:rPr>
          <w:rFonts w:cs="Times"/>
          <w:i/>
          <w:iCs/>
          <w:color w:val="0000FF"/>
          <w:szCs w:val="24"/>
        </w:rPr>
        <w:t xml:space="preserve"> </w:t>
      </w:r>
      <w:r w:rsidR="00444832" w:rsidRPr="000D608B">
        <w:rPr>
          <w:rFonts w:cs="Times"/>
          <w:i/>
          <w:iCs/>
          <w:szCs w:val="24"/>
        </w:rPr>
        <w:t>du 11 juin 2020 relatif au détachement d'office prévu à l'article 15 de la loi n° 83-634 du 13 juillet 1983 portant droits et obligations des fonctionnaires</w:t>
      </w:r>
    </w:p>
    <w:p w14:paraId="28304AB8" w14:textId="16173AAE" w:rsidR="004C3414" w:rsidRDefault="004C3414" w:rsidP="004C3414">
      <w:pPr>
        <w:spacing w:before="120" w:after="0" w:line="240" w:lineRule="auto"/>
        <w:rPr>
          <w:rFonts w:cs="Times"/>
          <w:color w:val="003300"/>
          <w:szCs w:val="24"/>
        </w:rPr>
      </w:pPr>
      <w:r>
        <w:rPr>
          <w:rFonts w:cs="Times"/>
          <w:color w:val="003300"/>
          <w:szCs w:val="24"/>
          <w:u w:val="single"/>
        </w:rPr>
        <w:t>Achats sur factures</w:t>
      </w:r>
      <w:r w:rsidRPr="000D608B">
        <w:rPr>
          <w:rFonts w:cs="Times"/>
          <w:color w:val="003300"/>
          <w:szCs w:val="24"/>
          <w:u w:val="single"/>
        </w:rPr>
        <w:t xml:space="preserve"> –</w:t>
      </w:r>
      <w:r>
        <w:rPr>
          <w:rFonts w:cs="Times"/>
          <w:color w:val="003300"/>
          <w:szCs w:val="24"/>
        </w:rPr>
        <w:t xml:space="preserve"> Le relèvement du seuil des marchés publics pour les denrées alimentaires.</w:t>
      </w:r>
    </w:p>
    <w:p w14:paraId="4A4E3020" w14:textId="16184A14" w:rsidR="004C3414" w:rsidRDefault="003A6CB6" w:rsidP="000D608B">
      <w:pPr>
        <w:spacing w:before="120" w:after="0" w:line="240" w:lineRule="auto"/>
        <w:ind w:left="567"/>
        <w:rPr>
          <w:rFonts w:cs="Times"/>
          <w:i/>
          <w:iCs/>
          <w:szCs w:val="24"/>
        </w:rPr>
      </w:pPr>
      <w:hyperlink r:id="rId19" w:history="1">
        <w:r w:rsidR="004C3414" w:rsidRPr="003A6CB6">
          <w:rPr>
            <w:rStyle w:val="Lienhypertexte"/>
            <w:rFonts w:cs="Times"/>
            <w:i/>
            <w:iCs/>
            <w:szCs w:val="24"/>
          </w:rPr>
          <w:t>Décret n° 2020-893</w:t>
        </w:r>
      </w:hyperlink>
      <w:r w:rsidR="004C3414" w:rsidRPr="004C3414">
        <w:rPr>
          <w:rFonts w:cs="Times"/>
          <w:i/>
          <w:iCs/>
          <w:color w:val="0000FF"/>
          <w:szCs w:val="24"/>
        </w:rPr>
        <w:t xml:space="preserve"> </w:t>
      </w:r>
      <w:r w:rsidR="004C3414" w:rsidRPr="004C3414">
        <w:rPr>
          <w:rFonts w:cs="Times"/>
          <w:i/>
          <w:iCs/>
          <w:szCs w:val="24"/>
        </w:rPr>
        <w:t>du 22 juillet 2020 portant relèvement temporaire du seuil de dispense de procédure pour les marchés publics de travaux et de fourniture de denrées alimentaires</w:t>
      </w:r>
    </w:p>
    <w:p w14:paraId="402DD084" w14:textId="3A8D4763" w:rsidR="00593B71" w:rsidRDefault="00593B71" w:rsidP="00593B71">
      <w:pPr>
        <w:spacing w:before="120" w:after="0" w:line="240" w:lineRule="auto"/>
        <w:rPr>
          <w:rFonts w:cs="Times"/>
          <w:color w:val="003300"/>
          <w:szCs w:val="24"/>
        </w:rPr>
      </w:pPr>
      <w:r>
        <w:rPr>
          <w:rFonts w:cs="Times"/>
          <w:color w:val="003300"/>
          <w:szCs w:val="24"/>
          <w:u w:val="single"/>
        </w:rPr>
        <w:t>Publicité des subventions</w:t>
      </w:r>
      <w:r w:rsidRPr="000D608B">
        <w:rPr>
          <w:rFonts w:cs="Times"/>
          <w:color w:val="003300"/>
          <w:szCs w:val="24"/>
          <w:u w:val="single"/>
        </w:rPr>
        <w:t xml:space="preserve"> –</w:t>
      </w:r>
      <w:r>
        <w:rPr>
          <w:rFonts w:cs="Times"/>
          <w:color w:val="003300"/>
          <w:szCs w:val="24"/>
        </w:rPr>
        <w:t xml:space="preserve"> Le mode opératoire pour que les élus fassent savoir qu’ils donnent de l’argent.</w:t>
      </w:r>
    </w:p>
    <w:p w14:paraId="59E90D88" w14:textId="459F1B96" w:rsidR="00593B71" w:rsidRPr="000D608B" w:rsidRDefault="003D703C" w:rsidP="000D608B">
      <w:pPr>
        <w:spacing w:before="120" w:after="0" w:line="240" w:lineRule="auto"/>
        <w:ind w:left="567"/>
        <w:rPr>
          <w:rFonts w:cs="Times"/>
          <w:i/>
          <w:iCs/>
          <w:color w:val="0000FF"/>
          <w:szCs w:val="24"/>
        </w:rPr>
      </w:pPr>
      <w:hyperlink r:id="rId20" w:history="1">
        <w:r w:rsidR="00593B71" w:rsidRPr="00593B71">
          <w:rPr>
            <w:rStyle w:val="Lienhypertexte"/>
            <w:rFonts w:cs="Times"/>
            <w:i/>
            <w:iCs/>
            <w:szCs w:val="24"/>
          </w:rPr>
          <w:t>Décret n° 2020-1129</w:t>
        </w:r>
      </w:hyperlink>
      <w:r w:rsidR="00593B71" w:rsidRPr="00593B71">
        <w:rPr>
          <w:rFonts w:cs="Times"/>
          <w:i/>
          <w:iCs/>
          <w:color w:val="0000FF"/>
          <w:szCs w:val="24"/>
        </w:rPr>
        <w:t xml:space="preserve"> </w:t>
      </w:r>
      <w:r w:rsidR="00593B71" w:rsidRPr="00593B71">
        <w:rPr>
          <w:rFonts w:cs="Times"/>
          <w:i/>
          <w:iCs/>
          <w:szCs w:val="24"/>
        </w:rPr>
        <w:t>du 14 septembre 2020 pris pour l'application de l'article L. 1111-11 du code général des collectivités territoriales</w:t>
      </w:r>
    </w:p>
    <w:p w14:paraId="5DBF6831" w14:textId="61915ABA" w:rsidR="00863FDD" w:rsidRDefault="00863FDD" w:rsidP="00863FDD">
      <w:pPr>
        <w:spacing w:before="120" w:after="0" w:line="240" w:lineRule="auto"/>
        <w:rPr>
          <w:rFonts w:cs="Times"/>
          <w:color w:val="003300"/>
          <w:szCs w:val="24"/>
        </w:rPr>
      </w:pPr>
      <w:r>
        <w:rPr>
          <w:rFonts w:cs="Times"/>
          <w:color w:val="003300"/>
          <w:szCs w:val="24"/>
          <w:u w:val="single"/>
        </w:rPr>
        <w:t>Marchés publics</w:t>
      </w:r>
      <w:r w:rsidRPr="000D608B">
        <w:rPr>
          <w:rFonts w:cs="Times"/>
          <w:color w:val="003300"/>
          <w:szCs w:val="24"/>
          <w:u w:val="single"/>
        </w:rPr>
        <w:t xml:space="preserve"> –</w:t>
      </w:r>
      <w:r>
        <w:rPr>
          <w:rFonts w:cs="Times"/>
          <w:color w:val="003300"/>
          <w:szCs w:val="24"/>
        </w:rPr>
        <w:t xml:space="preserve"> </w:t>
      </w:r>
      <w:r>
        <w:rPr>
          <w:rFonts w:cs="Times"/>
          <w:color w:val="003300"/>
          <w:szCs w:val="24"/>
        </w:rPr>
        <w:t>Simplification du régime de versement des avances</w:t>
      </w:r>
      <w:r w:rsidR="00AC134E">
        <w:rPr>
          <w:rFonts w:cs="Times"/>
          <w:color w:val="003300"/>
          <w:szCs w:val="24"/>
        </w:rPr>
        <w:t xml:space="preserve"> et diminution des garanties correspondantes.</w:t>
      </w:r>
    </w:p>
    <w:p w14:paraId="77F47276" w14:textId="227ACCEA" w:rsidR="00AC134E" w:rsidRPr="00AC134E" w:rsidRDefault="00AC134E" w:rsidP="006970D2">
      <w:pPr>
        <w:spacing w:before="120" w:after="0" w:line="240" w:lineRule="auto"/>
        <w:ind w:left="567"/>
        <w:rPr>
          <w:i/>
          <w:iCs/>
        </w:rPr>
      </w:pPr>
      <w:hyperlink r:id="rId21" w:anchor="lois" w:history="1">
        <w:r w:rsidRPr="00AC134E">
          <w:rPr>
            <w:rStyle w:val="Lienhypertexte"/>
            <w:i/>
            <w:iCs/>
          </w:rPr>
          <w:t>D</w:t>
        </w:r>
        <w:r w:rsidRPr="00AC134E">
          <w:rPr>
            <w:rStyle w:val="Lienhypertexte"/>
            <w:i/>
            <w:iCs/>
          </w:rPr>
          <w:t>écret 2020-1261</w:t>
        </w:r>
      </w:hyperlink>
      <w:r w:rsidRPr="00AC134E">
        <w:rPr>
          <w:i/>
          <w:iCs/>
        </w:rPr>
        <w:t xml:space="preserve"> du 15-10-2020</w:t>
      </w:r>
      <w:r w:rsidRPr="00AC134E">
        <w:rPr>
          <w:i/>
          <w:iCs/>
        </w:rPr>
        <w:t xml:space="preserve"> relatif aux avances dans les marchés publics</w:t>
      </w:r>
    </w:p>
    <w:p w14:paraId="17D13BC7" w14:textId="2052741A" w:rsidR="00E935A2" w:rsidRDefault="00AB002C" w:rsidP="006320BB">
      <w:pPr>
        <w:spacing w:before="120" w:after="0" w:line="240" w:lineRule="auto"/>
        <w:rPr>
          <w:rFonts w:cs="Times"/>
          <w:b/>
          <w:szCs w:val="24"/>
        </w:rPr>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38B30E28" w14:textId="5D1C53AF" w:rsidR="00925BD4" w:rsidRDefault="009D3A89" w:rsidP="00331173">
      <w:pPr>
        <w:spacing w:before="120" w:after="0" w:line="240" w:lineRule="auto"/>
        <w:rPr>
          <w:rFonts w:cs="Times"/>
          <w:color w:val="003300"/>
          <w:szCs w:val="24"/>
        </w:rPr>
      </w:pPr>
      <w:r w:rsidRPr="009D3A89">
        <w:rPr>
          <w:rFonts w:cs="Times"/>
          <w:color w:val="003300"/>
          <w:szCs w:val="24"/>
          <w:u w:val="single"/>
        </w:rPr>
        <w:t>Garantie d’emprunts –</w:t>
      </w:r>
      <w:r>
        <w:rPr>
          <w:rFonts w:cs="Times"/>
          <w:color w:val="003300"/>
          <w:szCs w:val="24"/>
        </w:rPr>
        <w:t xml:space="preserve"> Le droit général s’applique et donc les SEM peuvent utiliser les garanties d’emprunts des collectivités territoriales pour le logement es gendarmes.</w:t>
      </w:r>
    </w:p>
    <w:p w14:paraId="22C3522B" w14:textId="5FC40F2A" w:rsidR="009D3A89" w:rsidRPr="009D3A89" w:rsidRDefault="003D703C" w:rsidP="009D3A89">
      <w:pPr>
        <w:spacing w:before="120" w:after="0" w:line="240" w:lineRule="auto"/>
        <w:ind w:left="567"/>
        <w:rPr>
          <w:rFonts w:cs="Times"/>
          <w:i/>
          <w:iCs/>
          <w:szCs w:val="24"/>
        </w:rPr>
      </w:pPr>
      <w:hyperlink r:id="rId22" w:history="1">
        <w:r w:rsidR="009D3A89" w:rsidRPr="009D3A89">
          <w:rPr>
            <w:rStyle w:val="Lienhypertexte"/>
            <w:rFonts w:cs="Times"/>
            <w:i/>
            <w:iCs/>
            <w:szCs w:val="24"/>
          </w:rPr>
          <w:t xml:space="preserve">Réponse </w:t>
        </w:r>
        <w:proofErr w:type="spellStart"/>
        <w:r w:rsidR="009D3A89" w:rsidRPr="009D3A89">
          <w:rPr>
            <w:rStyle w:val="Lienhypertexte"/>
            <w:rFonts w:cs="Times"/>
            <w:i/>
            <w:iCs/>
            <w:szCs w:val="24"/>
          </w:rPr>
          <w:t>Saddier</w:t>
        </w:r>
        <w:proofErr w:type="spellEnd"/>
        <w:r w:rsidR="009D3A89" w:rsidRPr="009D3A89">
          <w:rPr>
            <w:rStyle w:val="Lienhypertexte"/>
            <w:rFonts w:cs="Times"/>
            <w:i/>
            <w:iCs/>
            <w:szCs w:val="24"/>
          </w:rPr>
          <w:t xml:space="preserve"> 27343</w:t>
        </w:r>
      </w:hyperlink>
      <w:r w:rsidR="009D3A89" w:rsidRPr="009D3A89">
        <w:rPr>
          <w:rFonts w:cs="Times"/>
          <w:i/>
          <w:iCs/>
          <w:szCs w:val="24"/>
        </w:rPr>
        <w:t>, JOAN 29/09/2020, p. 6714</w:t>
      </w:r>
    </w:p>
    <w:p w14:paraId="17CBC051" w14:textId="2A3F4E86" w:rsidR="00134462" w:rsidRDefault="00134462" w:rsidP="00134462">
      <w:pPr>
        <w:spacing w:before="120" w:after="0" w:line="240" w:lineRule="auto"/>
        <w:rPr>
          <w:rFonts w:cs="Times"/>
          <w:color w:val="003300"/>
          <w:szCs w:val="24"/>
        </w:rPr>
      </w:pPr>
      <w:r>
        <w:rPr>
          <w:rFonts w:cs="Times"/>
          <w:color w:val="003300"/>
          <w:szCs w:val="24"/>
          <w:u w:val="single"/>
        </w:rPr>
        <w:t>Remboursement anticipé</w:t>
      </w:r>
      <w:r w:rsidRPr="009D3A89">
        <w:rPr>
          <w:rFonts w:cs="Times"/>
          <w:color w:val="003300"/>
          <w:szCs w:val="24"/>
          <w:u w:val="single"/>
        </w:rPr>
        <w:t xml:space="preserve"> d’emprunts –</w:t>
      </w:r>
      <w:r>
        <w:rPr>
          <w:rFonts w:cs="Times"/>
          <w:color w:val="003300"/>
          <w:szCs w:val="24"/>
        </w:rPr>
        <w:t xml:space="preserve"> Pas de limitation de la pénalité pour les emprunts des collectivit</w:t>
      </w:r>
      <w:r w:rsidR="00DB1243">
        <w:rPr>
          <w:rFonts w:cs="Times"/>
          <w:color w:val="003300"/>
          <w:szCs w:val="24"/>
        </w:rPr>
        <w:t>és publiques, à la différence de ce qui existe pour les particuliers.</w:t>
      </w:r>
    </w:p>
    <w:p w14:paraId="6EBC0D47" w14:textId="5025D4E0" w:rsidR="00DB1243" w:rsidRDefault="003D703C" w:rsidP="00DB1243">
      <w:pPr>
        <w:spacing w:before="120" w:after="0" w:line="240" w:lineRule="auto"/>
        <w:ind w:left="567"/>
        <w:rPr>
          <w:i/>
          <w:iCs/>
        </w:rPr>
      </w:pPr>
      <w:hyperlink r:id="rId23" w:history="1">
        <w:r w:rsidR="00DB1243" w:rsidRPr="00DB1243">
          <w:rPr>
            <w:rStyle w:val="Lienhypertexte"/>
            <w:i/>
            <w:iCs/>
          </w:rPr>
          <w:t xml:space="preserve">Réponse </w:t>
        </w:r>
        <w:proofErr w:type="spellStart"/>
        <w:r w:rsidR="00DB1243" w:rsidRPr="00DB1243">
          <w:rPr>
            <w:rStyle w:val="Lienhypertexte"/>
            <w:i/>
            <w:iCs/>
          </w:rPr>
          <w:t>Biémouret</w:t>
        </w:r>
        <w:proofErr w:type="spellEnd"/>
        <w:r w:rsidR="00DB1243" w:rsidRPr="00DB1243">
          <w:rPr>
            <w:rStyle w:val="Lienhypertexte"/>
            <w:i/>
            <w:iCs/>
          </w:rPr>
          <w:t xml:space="preserve"> n° 22663,</w:t>
        </w:r>
      </w:hyperlink>
      <w:r w:rsidR="00DB1243" w:rsidRPr="00DB1243">
        <w:rPr>
          <w:i/>
          <w:iCs/>
        </w:rPr>
        <w:t xml:space="preserve"> JOAN 15/9/2020, p. 6271</w:t>
      </w:r>
    </w:p>
    <w:p w14:paraId="6258B703" w14:textId="0E3ED9BC" w:rsidR="00DB1243" w:rsidRDefault="00DB1243" w:rsidP="00DB1243">
      <w:pPr>
        <w:spacing w:before="120" w:after="0" w:line="240" w:lineRule="auto"/>
        <w:rPr>
          <w:rFonts w:cs="Times"/>
          <w:color w:val="003300"/>
          <w:szCs w:val="24"/>
        </w:rPr>
      </w:pPr>
      <w:r>
        <w:rPr>
          <w:rFonts w:cs="Times"/>
          <w:color w:val="003300"/>
          <w:szCs w:val="24"/>
          <w:u w:val="single"/>
        </w:rPr>
        <w:t>Propriété commerciale et occupation domaniale</w:t>
      </w:r>
      <w:r w:rsidRPr="009D3A89">
        <w:rPr>
          <w:rFonts w:cs="Times"/>
          <w:color w:val="003300"/>
          <w:szCs w:val="24"/>
          <w:u w:val="single"/>
        </w:rPr>
        <w:t xml:space="preserve"> –</w:t>
      </w:r>
      <w:r>
        <w:rPr>
          <w:rFonts w:cs="Times"/>
          <w:color w:val="003300"/>
          <w:szCs w:val="24"/>
        </w:rPr>
        <w:t xml:space="preserve"> Un rappel des modalités de compatibilité du fonds de commerce avec une autorisation d’occupation du domaine public.</w:t>
      </w:r>
    </w:p>
    <w:p w14:paraId="091436F9" w14:textId="1D6B36F6" w:rsidR="00DB1243" w:rsidRPr="00DB1243" w:rsidRDefault="003D703C" w:rsidP="00DB1243">
      <w:pPr>
        <w:spacing w:before="120" w:after="0" w:line="240" w:lineRule="auto"/>
        <w:ind w:left="567"/>
        <w:rPr>
          <w:i/>
          <w:iCs/>
        </w:rPr>
      </w:pPr>
      <w:hyperlink r:id="rId24" w:history="1">
        <w:r w:rsidR="00DB1243" w:rsidRPr="00DB1243">
          <w:rPr>
            <w:rStyle w:val="Lienhypertexte"/>
            <w:i/>
            <w:iCs/>
          </w:rPr>
          <w:t xml:space="preserve">Réponse </w:t>
        </w:r>
        <w:proofErr w:type="spellStart"/>
        <w:r w:rsidR="00DB1243" w:rsidRPr="00DB1243">
          <w:rPr>
            <w:rStyle w:val="Lienhypertexte"/>
            <w:i/>
            <w:iCs/>
          </w:rPr>
          <w:t>Falorni</w:t>
        </w:r>
        <w:proofErr w:type="spellEnd"/>
        <w:r w:rsidR="00DB1243" w:rsidRPr="00DB1243">
          <w:rPr>
            <w:rStyle w:val="Lienhypertexte"/>
            <w:i/>
            <w:iCs/>
          </w:rPr>
          <w:t xml:space="preserve"> n° 23832</w:t>
        </w:r>
      </w:hyperlink>
      <w:r w:rsidR="00DB1243">
        <w:rPr>
          <w:i/>
          <w:iCs/>
        </w:rPr>
        <w:t>, JO</w:t>
      </w:r>
      <w:r w:rsidR="00DB1243" w:rsidRPr="00DB1243">
        <w:rPr>
          <w:i/>
          <w:iCs/>
        </w:rPr>
        <w:t>AN 29/9/2020, p. 6672</w:t>
      </w:r>
    </w:p>
    <w:p w14:paraId="56646925" w14:textId="5DE8A3D5" w:rsidR="00DB1243" w:rsidRDefault="00DB1243" w:rsidP="00DB1243">
      <w:pPr>
        <w:spacing w:before="120" w:after="0" w:line="240" w:lineRule="auto"/>
        <w:rPr>
          <w:color w:val="003300"/>
        </w:rPr>
      </w:pPr>
      <w:r w:rsidRPr="00790A4C">
        <w:rPr>
          <w:color w:val="003300"/>
          <w:u w:val="single"/>
        </w:rPr>
        <w:t xml:space="preserve">Garantie </w:t>
      </w:r>
      <w:r w:rsidR="001169DF" w:rsidRPr="00790A4C">
        <w:rPr>
          <w:color w:val="003300"/>
          <w:u w:val="single"/>
        </w:rPr>
        <w:t xml:space="preserve">communale </w:t>
      </w:r>
      <w:r w:rsidRPr="00790A4C">
        <w:rPr>
          <w:color w:val="003300"/>
          <w:u w:val="single"/>
        </w:rPr>
        <w:t xml:space="preserve">d’emprunt </w:t>
      </w:r>
      <w:r w:rsidR="001169DF" w:rsidRPr="001169DF">
        <w:rPr>
          <w:color w:val="003300"/>
        </w:rPr>
        <w:t xml:space="preserve">– Elle reste possible </w:t>
      </w:r>
      <w:r w:rsidR="001169DF">
        <w:rPr>
          <w:color w:val="003300"/>
        </w:rPr>
        <w:t>au bénéfice du</w:t>
      </w:r>
      <w:r w:rsidR="001169DF" w:rsidRPr="001169DF">
        <w:rPr>
          <w:color w:val="003300"/>
        </w:rPr>
        <w:t xml:space="preserve"> préteur d’une personne publique.</w:t>
      </w:r>
    </w:p>
    <w:p w14:paraId="40E1FCD1" w14:textId="6FD1E924" w:rsidR="001169DF" w:rsidRPr="001169DF" w:rsidRDefault="003D703C" w:rsidP="001169DF">
      <w:pPr>
        <w:spacing w:before="120" w:after="0" w:line="240" w:lineRule="auto"/>
        <w:ind w:left="567"/>
        <w:rPr>
          <w:i/>
          <w:iCs/>
          <w:color w:val="003300"/>
        </w:rPr>
      </w:pPr>
      <w:hyperlink r:id="rId25" w:history="1">
        <w:r w:rsidR="001169DF" w:rsidRPr="001169DF">
          <w:rPr>
            <w:rStyle w:val="Lienhypertexte"/>
            <w:i/>
            <w:iCs/>
          </w:rPr>
          <w:t>Réponse Masson n° 04762</w:t>
        </w:r>
      </w:hyperlink>
      <w:r w:rsidR="001169DF" w:rsidRPr="001169DF">
        <w:rPr>
          <w:i/>
          <w:iCs/>
          <w:color w:val="003300"/>
        </w:rPr>
        <w:t xml:space="preserve">, </w:t>
      </w:r>
      <w:r w:rsidR="001169DF" w:rsidRPr="001169DF">
        <w:rPr>
          <w:i/>
          <w:iCs/>
        </w:rPr>
        <w:t>JO Sénat du 8/10/20, p. 4583</w:t>
      </w:r>
    </w:p>
    <w:p w14:paraId="7D92344F" w14:textId="59B42353" w:rsidR="00331173" w:rsidRDefault="00331173" w:rsidP="00331173">
      <w:pPr>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6CEDADA3" w14:textId="51DA51E7" w:rsidR="00F5762B" w:rsidRDefault="00134462" w:rsidP="006320BB">
      <w:pPr>
        <w:spacing w:before="120" w:after="0" w:line="240" w:lineRule="auto"/>
        <w:rPr>
          <w:rFonts w:cs="Times"/>
          <w:color w:val="003300"/>
          <w:szCs w:val="24"/>
        </w:rPr>
      </w:pPr>
      <w:r w:rsidRPr="00134462">
        <w:rPr>
          <w:rFonts w:cs="Times"/>
          <w:color w:val="003300"/>
          <w:szCs w:val="24"/>
          <w:u w:val="single"/>
        </w:rPr>
        <w:t>Prescription quadriennale –</w:t>
      </w:r>
      <w:r>
        <w:rPr>
          <w:rFonts w:cs="Times"/>
          <w:color w:val="003300"/>
          <w:szCs w:val="24"/>
        </w:rPr>
        <w:t xml:space="preserve"> Tout acte d’interruption de la prescription relève du comptable public.</w:t>
      </w:r>
    </w:p>
    <w:p w14:paraId="50F07278" w14:textId="52AAE9B0" w:rsidR="00593B71" w:rsidRDefault="003D703C" w:rsidP="00134462">
      <w:pPr>
        <w:spacing w:before="120" w:after="0" w:line="240" w:lineRule="auto"/>
        <w:ind w:left="567"/>
        <w:rPr>
          <w:rFonts w:cs="Times"/>
          <w:i/>
          <w:iCs/>
          <w:szCs w:val="24"/>
        </w:rPr>
      </w:pPr>
      <w:hyperlink r:id="rId26" w:anchor="cetat" w:history="1">
        <w:r w:rsidR="00593B71" w:rsidRPr="00134462">
          <w:rPr>
            <w:rStyle w:val="Lienhypertexte"/>
            <w:rFonts w:cs="Times"/>
            <w:i/>
            <w:iCs/>
            <w:szCs w:val="24"/>
          </w:rPr>
          <w:t xml:space="preserve">Conseil d'État </w:t>
        </w:r>
        <w:r w:rsidR="00134462" w:rsidRPr="00134462">
          <w:rPr>
            <w:rStyle w:val="Lienhypertexte"/>
            <w:rFonts w:cs="Times"/>
            <w:i/>
            <w:iCs/>
            <w:szCs w:val="24"/>
          </w:rPr>
          <w:t>, n° 430915,</w:t>
        </w:r>
      </w:hyperlink>
      <w:r w:rsidR="00134462" w:rsidRPr="00134462">
        <w:rPr>
          <w:rFonts w:cs="Times"/>
          <w:i/>
          <w:iCs/>
          <w:color w:val="003300"/>
          <w:szCs w:val="24"/>
        </w:rPr>
        <w:t xml:space="preserve"> </w:t>
      </w:r>
      <w:r w:rsidR="00134462" w:rsidRPr="00134462">
        <w:rPr>
          <w:rFonts w:cs="Times"/>
          <w:i/>
          <w:iCs/>
          <w:szCs w:val="24"/>
        </w:rPr>
        <w:t xml:space="preserve">B </w:t>
      </w:r>
      <w:r w:rsidR="00593B71" w:rsidRPr="00134462">
        <w:rPr>
          <w:rFonts w:cs="Times"/>
          <w:i/>
          <w:iCs/>
          <w:szCs w:val="24"/>
        </w:rPr>
        <w:t>- Communauté d’agglomération de Chalon-Val-de-Bourgogne - 21 septembre 2020</w:t>
      </w:r>
    </w:p>
    <w:p w14:paraId="36F9B6C5" w14:textId="77777777" w:rsidR="006970D2" w:rsidRPr="004978D1" w:rsidRDefault="006970D2" w:rsidP="006970D2">
      <w:pPr>
        <w:spacing w:before="120" w:after="0" w:line="240" w:lineRule="auto"/>
        <w:rPr>
          <w:rFonts w:cs="Times"/>
          <w:color w:val="003300"/>
          <w:szCs w:val="24"/>
        </w:rPr>
      </w:pPr>
      <w:r>
        <w:rPr>
          <w:rFonts w:cs="Times"/>
          <w:color w:val="003300"/>
          <w:szCs w:val="24"/>
          <w:u w:val="single"/>
        </w:rPr>
        <w:t>Subventions publiques</w:t>
      </w:r>
      <w:r w:rsidRPr="000D608B">
        <w:rPr>
          <w:rFonts w:cs="Times"/>
          <w:color w:val="003300"/>
          <w:szCs w:val="24"/>
          <w:u w:val="single"/>
        </w:rPr>
        <w:t xml:space="preserve"> –</w:t>
      </w:r>
      <w:r>
        <w:rPr>
          <w:rFonts w:cs="Times"/>
          <w:color w:val="003300"/>
          <w:szCs w:val="24"/>
        </w:rPr>
        <w:t xml:space="preserve"> Pas de TVA si les contreparties ne sont pas individualisées.</w:t>
      </w:r>
    </w:p>
    <w:p w14:paraId="01D3D75D" w14:textId="6981C9D2" w:rsidR="006970D2" w:rsidRPr="006970D2" w:rsidRDefault="006970D2" w:rsidP="006970D2">
      <w:pPr>
        <w:spacing w:before="120" w:after="0" w:line="240" w:lineRule="auto"/>
        <w:ind w:left="567"/>
        <w:rPr>
          <w:i/>
          <w:iCs/>
        </w:rPr>
      </w:pPr>
      <w:hyperlink r:id="rId27" w:history="1">
        <w:r w:rsidRPr="004978D1">
          <w:rPr>
            <w:rStyle w:val="Lienhypertexte"/>
            <w:i/>
            <w:iCs/>
          </w:rPr>
          <w:t>CAA de VERSAILLES 18VE02377</w:t>
        </w:r>
      </w:hyperlink>
      <w:r>
        <w:rPr>
          <w:i/>
          <w:iCs/>
        </w:rPr>
        <w:t>,</w:t>
      </w:r>
      <w:r w:rsidRPr="00AC134E">
        <w:rPr>
          <w:i/>
          <w:iCs/>
        </w:rPr>
        <w:t xml:space="preserve"> 7ème chambre, 10/06/2020, </w:t>
      </w:r>
    </w:p>
    <w:p w14:paraId="752B38A1" w14:textId="77777777" w:rsidR="001F3614" w:rsidRDefault="001F3614" w:rsidP="006320BB">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451B7EA9" w14:textId="659B3706" w:rsidR="002D38A3" w:rsidRPr="00A15B3A" w:rsidRDefault="00101E9F" w:rsidP="002D38A3">
      <w:pPr>
        <w:spacing w:before="120" w:after="0" w:line="240" w:lineRule="auto"/>
        <w:rPr>
          <w:rFonts w:cs="Times"/>
          <w:color w:val="003300"/>
          <w:szCs w:val="24"/>
        </w:rPr>
      </w:pPr>
      <w:r w:rsidRPr="00101E9F">
        <w:rPr>
          <w:rFonts w:cs="Times"/>
          <w:color w:val="003300"/>
          <w:szCs w:val="24"/>
          <w:u w:val="single"/>
        </w:rPr>
        <w:t>Transparence de la vie publique</w:t>
      </w:r>
      <w:r>
        <w:rPr>
          <w:rFonts w:cs="Times"/>
          <w:color w:val="003300"/>
          <w:szCs w:val="24"/>
        </w:rPr>
        <w:t xml:space="preserve"> – Le rapport de la haute autorité pour 2019</w:t>
      </w:r>
    </w:p>
    <w:p w14:paraId="718F890B" w14:textId="30DCE187" w:rsidR="009B615F" w:rsidRPr="00790A4C" w:rsidRDefault="003D703C" w:rsidP="00101E9F">
      <w:pPr>
        <w:spacing w:before="120" w:after="0" w:line="240" w:lineRule="auto"/>
        <w:ind w:left="567"/>
        <w:rPr>
          <w:rFonts w:ascii="Times New Roman" w:hAnsi="Times New Roman"/>
          <w:color w:val="0000FF"/>
          <w:szCs w:val="24"/>
          <w:u w:val="single"/>
        </w:rPr>
      </w:pPr>
      <w:hyperlink r:id="rId28" w:tgtFrame="_blank" w:history="1">
        <w:r w:rsidR="00101E9F" w:rsidRPr="00790A4C">
          <w:rPr>
            <w:rStyle w:val="Lienhypertexte"/>
            <w:rFonts w:ascii="Times New Roman" w:hAnsi="Times New Roman"/>
            <w:i/>
            <w:iCs/>
            <w:szCs w:val="24"/>
          </w:rPr>
          <w:t>HATVP, Rapport 2019, Neuf propositions pour permettre une meilleure application de la loi et un approfondissement du cadre d'intégrité</w:t>
        </w:r>
      </w:hyperlink>
    </w:p>
    <w:p w14:paraId="63D0111D" w14:textId="77777777" w:rsidR="00925BD4" w:rsidRPr="00E06210" w:rsidRDefault="00925BD4" w:rsidP="00A340F6">
      <w:pPr>
        <w:spacing w:before="120" w:after="0" w:line="240" w:lineRule="auto"/>
        <w:rPr>
          <w:rFonts w:cs="Times"/>
          <w:color w:val="003300"/>
          <w:szCs w:val="24"/>
        </w:rPr>
      </w:pPr>
    </w:p>
    <w:p w14:paraId="2649CADA" w14:textId="7B699F34" w:rsidR="0012059E" w:rsidRDefault="00450519" w:rsidP="00FA1646">
      <w:pPr>
        <w:spacing w:before="120" w:after="120" w:line="240" w:lineRule="auto"/>
        <w:jc w:val="center"/>
        <w:rPr>
          <w:rFonts w:ascii="Times New Roman" w:hAnsi="Times New Roman"/>
          <w:b/>
          <w:szCs w:val="24"/>
        </w:rPr>
      </w:pPr>
      <w:r>
        <w:rPr>
          <w:b/>
          <w:szCs w:val="24"/>
        </w:rPr>
        <w:br w:type="page"/>
      </w:r>
      <w:r w:rsidR="00BC38F3" w:rsidRPr="00BC38F3">
        <w:rPr>
          <w:rFonts w:ascii="Times New Roman" w:hAnsi="Times New Roman"/>
          <w:b/>
          <w:szCs w:val="24"/>
        </w:rPr>
        <w:lastRenderedPageBreak/>
        <w:t>Les actualités</w:t>
      </w:r>
      <w:r w:rsidR="003558DA">
        <w:rPr>
          <w:rFonts w:ascii="Times New Roman" w:hAnsi="Times New Roman"/>
          <w:b/>
          <w:szCs w:val="24"/>
        </w:rPr>
        <w:t xml:space="preserve"> fiscales</w:t>
      </w:r>
    </w:p>
    <w:p w14:paraId="487E20D1" w14:textId="77777777" w:rsidR="00863FDD" w:rsidRPr="00863FDD" w:rsidRDefault="00863FDD" w:rsidP="00863FDD">
      <w:pPr>
        <w:pStyle w:val="NormalWeb"/>
        <w:shd w:val="clear" w:color="auto" w:fill="FFFFFF"/>
        <w:spacing w:before="120" w:after="0"/>
        <w:jc w:val="both"/>
        <w:rPr>
          <w:color w:val="333333"/>
        </w:rPr>
      </w:pPr>
      <w:hyperlink r:id="rId29" w:tooltip="28/10/2020 : DJC - Possibilité pour les organismes de gestion agréés (OGA) de créer une association de gestion et de comptabilité (AGC)" w:history="1">
        <w:r w:rsidRPr="00863FDD">
          <w:br/>
        </w:r>
        <w:r w:rsidRPr="00863FDD">
          <w:rPr>
            <w:rStyle w:val="Lienhypertexte"/>
          </w:rPr>
          <w:t>28/10/2020 : DJC - Possibilité pour les organismes de gestion agréés (OGA) de créer une association de gestion et de comptabilité (AGC)</w:t>
        </w:r>
      </w:hyperlink>
    </w:p>
    <w:p w14:paraId="29BDC399" w14:textId="77777777" w:rsidR="00863FDD" w:rsidRPr="00863FDD" w:rsidRDefault="00863FDD" w:rsidP="00863FDD">
      <w:pPr>
        <w:pStyle w:val="NormalWeb"/>
        <w:shd w:val="clear" w:color="auto" w:fill="FFFFFF"/>
        <w:spacing w:before="120" w:after="0"/>
        <w:jc w:val="both"/>
        <w:rPr>
          <w:color w:val="333333"/>
        </w:rPr>
      </w:pPr>
      <w:hyperlink r:id="rId30" w:tooltip="28/10/2020 : TVA - IMM - Conséquences du transfert d'un contrat de vente en l'état futur d'achèvement dans le secteur du logement intermédiaire - Rescrit" w:history="1">
        <w:r w:rsidRPr="00863FDD">
          <w:rPr>
            <w:rStyle w:val="Lienhypertexte"/>
            <w:highlight w:val="green"/>
          </w:rPr>
          <w:t xml:space="preserve">28/10/2020 : TVA - IMM - Conséquences du transfert d'un contrat de vente en l'état futur d'achèvement dans le secteur du logement </w:t>
        </w:r>
        <w:r w:rsidRPr="00863FDD">
          <w:rPr>
            <w:rStyle w:val="Lienhypertexte"/>
            <w:highlight w:val="green"/>
          </w:rPr>
          <w:t>i</w:t>
        </w:r>
        <w:r w:rsidRPr="00863FDD">
          <w:rPr>
            <w:rStyle w:val="Lienhypertexte"/>
            <w:highlight w:val="green"/>
          </w:rPr>
          <w:t>ntermédiaire - Rescrit</w:t>
        </w:r>
      </w:hyperlink>
    </w:p>
    <w:p w14:paraId="70059DF8" w14:textId="77777777" w:rsidR="00863FDD" w:rsidRPr="00863FDD" w:rsidRDefault="00863FDD" w:rsidP="00863FDD">
      <w:pPr>
        <w:pStyle w:val="NormalWeb"/>
        <w:shd w:val="clear" w:color="auto" w:fill="FFFFFF"/>
        <w:spacing w:before="120" w:after="0"/>
        <w:jc w:val="both"/>
        <w:rPr>
          <w:color w:val="333333"/>
        </w:rPr>
      </w:pPr>
      <w:hyperlink r:id="rId31" w:tooltip="21/10/2020 : RFPI - Prélèvements sur les plus-values immobilières des non-résidents - Actualisation de la liste des représentants accrédités en vertu de la combinaison de l'article 244 bis A, IV du CGI et de l'article 289 A du CGI" w:history="1">
        <w:r w:rsidRPr="00863FDD">
          <w:rPr>
            <w:rStyle w:val="Lienhypertexte"/>
          </w:rPr>
          <w:t>21/10/2020 : RFPI - Prélèvements sur les plus-values immobilières des non-résidents - Actualisation de la liste des représentants accrédités en vertu de la combinaison de l'article 244 bis A, IV du CGI et de l'article 289 A du CGI</w:t>
        </w:r>
      </w:hyperlink>
    </w:p>
    <w:p w14:paraId="6A960CBC" w14:textId="77777777" w:rsidR="00863FDD" w:rsidRPr="00863FDD" w:rsidRDefault="00863FDD" w:rsidP="00863FDD">
      <w:pPr>
        <w:pStyle w:val="NormalWeb"/>
        <w:shd w:val="clear" w:color="auto" w:fill="FFFFFF"/>
        <w:spacing w:before="120" w:after="0"/>
        <w:jc w:val="both"/>
        <w:rPr>
          <w:color w:val="333333"/>
        </w:rPr>
      </w:pPr>
      <w:hyperlink r:id="rId32" w:tooltip="21/10/2020 : TVA  - Assujettis établis dans l'Union européenne : dématérialisation de la transmission par les assujettis des mandats signés aux services des impôts des entreprises compétents ou au service des impôts des entreprises étrangères" w:history="1">
        <w:r w:rsidRPr="00863FDD">
          <w:rPr>
            <w:rStyle w:val="Lienhypertexte"/>
          </w:rPr>
          <w:t>21/10/2020 : TVA - Assujettis établis dans l'Union européenne : dématérialisation de la transmission par les assujettis des mandats signés aux services des impôts des entreprises compétents ou au service des impôts des entreprises étrangères</w:t>
        </w:r>
      </w:hyperlink>
    </w:p>
    <w:p w14:paraId="71DA6921" w14:textId="19737266" w:rsidR="00101E9F" w:rsidRPr="00863FDD" w:rsidRDefault="003D703C" w:rsidP="00863FDD">
      <w:pPr>
        <w:pStyle w:val="NormalWeb"/>
        <w:shd w:val="clear" w:color="auto" w:fill="FFFFFF"/>
        <w:spacing w:before="120" w:after="0"/>
        <w:jc w:val="both"/>
        <w:rPr>
          <w:color w:val="333333"/>
        </w:rPr>
      </w:pPr>
      <w:hyperlink r:id="rId33" w:tooltip="16/10/2020 : TVA - Simplification des obligations des prestataires extérieurs lors de la conclusion d'un contrat de restauration collective - Rectificatif" w:history="1">
        <w:r w:rsidR="00101E9F" w:rsidRPr="00863FDD">
          <w:rPr>
            <w:rStyle w:val="Lienhypertexte"/>
          </w:rPr>
          <w:t>16/10/2020 : TVA - Simplification des obligations des prestataires extérieurs lors de la conclusion d'un contrat de restauration collective - Rectificatif</w:t>
        </w:r>
      </w:hyperlink>
    </w:p>
    <w:p w14:paraId="63000103" w14:textId="77777777" w:rsidR="00101E9F" w:rsidRPr="00863FDD" w:rsidRDefault="003D703C" w:rsidP="00863FDD">
      <w:pPr>
        <w:pStyle w:val="NormalWeb"/>
        <w:shd w:val="clear" w:color="auto" w:fill="FFFFFF"/>
        <w:spacing w:before="120" w:after="0"/>
        <w:jc w:val="both"/>
        <w:rPr>
          <w:color w:val="333333"/>
        </w:rPr>
      </w:pPr>
      <w:hyperlink r:id="rId34" w:tooltip="15/10/2020 : Naviguer dans BOFiP-Impots, rechercher et accéder aux versions antérieures d'un BOI" w:history="1">
        <w:r w:rsidR="00101E9F" w:rsidRPr="00863FDD">
          <w:rPr>
            <w:rStyle w:val="Lienhypertexte"/>
          </w:rPr>
          <w:t xml:space="preserve">15/10/2020 : Naviguer dans </w:t>
        </w:r>
        <w:proofErr w:type="spellStart"/>
        <w:r w:rsidR="00101E9F" w:rsidRPr="00863FDD">
          <w:rPr>
            <w:rStyle w:val="Lienhypertexte"/>
          </w:rPr>
          <w:t>BOFiP-Impots</w:t>
        </w:r>
        <w:proofErr w:type="spellEnd"/>
        <w:r w:rsidR="00101E9F" w:rsidRPr="00863FDD">
          <w:rPr>
            <w:rStyle w:val="Lienhypertexte"/>
          </w:rPr>
          <w:t>, rechercher et accéder aux versions antérieures d'un BOI</w:t>
        </w:r>
      </w:hyperlink>
    </w:p>
    <w:p w14:paraId="1233AAD5" w14:textId="77777777" w:rsidR="00101E9F" w:rsidRPr="00863FDD" w:rsidRDefault="003D703C" w:rsidP="00863FDD">
      <w:pPr>
        <w:pStyle w:val="NormalWeb"/>
        <w:shd w:val="clear" w:color="auto" w:fill="FFFFFF"/>
        <w:spacing w:before="120" w:after="0"/>
        <w:jc w:val="both"/>
        <w:rPr>
          <w:color w:val="333333"/>
        </w:rPr>
      </w:pPr>
      <w:hyperlink r:id="rId35" w:tooltip="14/10/2020 : BIC - Précisions relatives aux téléprocédures relatives aux déclarations de résultats professionnels pour la campagne déclarative 2020" w:history="1">
        <w:r w:rsidR="00101E9F" w:rsidRPr="00863FDD">
          <w:rPr>
            <w:rStyle w:val="Lienhypertexte"/>
          </w:rPr>
          <w:t>14/10/2020 : BIC - Précisions relatives aux téléprocédures relatives aux déclarations de résultats professionnels pour la campagne déclarative 2020</w:t>
        </w:r>
      </w:hyperlink>
    </w:p>
    <w:p w14:paraId="632D5F94" w14:textId="77777777" w:rsidR="00101E9F" w:rsidRPr="00863FDD" w:rsidRDefault="003D703C" w:rsidP="00863FDD">
      <w:pPr>
        <w:pStyle w:val="NormalWeb"/>
        <w:shd w:val="clear" w:color="auto" w:fill="FFFFFF"/>
        <w:spacing w:before="120" w:after="0"/>
        <w:jc w:val="both"/>
        <w:rPr>
          <w:color w:val="333333"/>
        </w:rPr>
      </w:pPr>
      <w:hyperlink r:id="rId36" w:tooltip="14/10/2020 : TVA - Taux - Précisions sur le taux applicable aux boissons alcooliques (loi n° 2019-1479 du 28 décembre 2019 de finances pour 2020, art. 38)" w:history="1">
        <w:r w:rsidR="00101E9F" w:rsidRPr="00863FDD">
          <w:rPr>
            <w:rStyle w:val="Lienhypertexte"/>
          </w:rPr>
          <w:t>14/10/2020 : TVA - Taux - Précisions sur le taux applicable aux boissons alcooliques (loi n° 2019-1479 du 28 décembre 2019 de finances pour 2020, art. 38)</w:t>
        </w:r>
      </w:hyperlink>
    </w:p>
    <w:p w14:paraId="5EB8A56D" w14:textId="77777777" w:rsidR="00101E9F" w:rsidRPr="00863FDD" w:rsidRDefault="003D703C" w:rsidP="00863FDD">
      <w:pPr>
        <w:pStyle w:val="NormalWeb"/>
        <w:shd w:val="clear" w:color="auto" w:fill="FFFFFF"/>
        <w:spacing w:before="120" w:after="0"/>
        <w:jc w:val="both"/>
        <w:rPr>
          <w:color w:val="333333"/>
        </w:rPr>
      </w:pPr>
      <w:hyperlink r:id="rId37" w:tooltip="14/10/2020 : TVA - Transposition de la directive 2018/1910 du Conseil du 4 décembre 2018 en ce qui concerne l'harmonisation et la simplification de certaines règles dans le système de la taxe sur la valeur ajoutée pour la taxation des échanges entre les Etats " w:history="1">
        <w:r w:rsidR="00101E9F" w:rsidRPr="00863FDD">
          <w:rPr>
            <w:rStyle w:val="Lienhypertexte"/>
          </w:rPr>
          <w:t>14/10/2020 : TVA - Transposition de la directive 2018/1910 du Conseil du 4 décembre 2018 en ce qui concerne l'harmonisation et la simplification de certaines règles dans le système de la taxe sur la valeur ajoutée pour la taxation des échanges entre les Etats membres, mesures « Quick fixes » (loi n° 2019-1479 du 28 décembre 2019 de finances pour 2020, art. 34)</w:t>
        </w:r>
      </w:hyperlink>
    </w:p>
    <w:p w14:paraId="6CAF3FAE" w14:textId="77777777" w:rsidR="00101E9F" w:rsidRPr="00863FDD" w:rsidRDefault="003D703C" w:rsidP="00863FDD">
      <w:pPr>
        <w:pStyle w:val="NormalWeb"/>
        <w:shd w:val="clear" w:color="auto" w:fill="FFFFFF"/>
        <w:spacing w:before="120" w:after="0"/>
        <w:jc w:val="both"/>
        <w:rPr>
          <w:color w:val="333333"/>
        </w:rPr>
      </w:pPr>
      <w:hyperlink r:id="rId38" w:tooltip="14/10/2020 : TVA - Simplification des obligations des prestataires extérieurs lors de la conclusion d'un contrat de restauration collective" w:history="1">
        <w:r w:rsidR="00101E9F" w:rsidRPr="00863FDD">
          <w:rPr>
            <w:rStyle w:val="Lienhypertexte"/>
          </w:rPr>
          <w:t>14/10/2020 : TVA - Simplification des obligations des prestataires extérieurs lors de la conclusion d'un contrat de restauration collective</w:t>
        </w:r>
      </w:hyperlink>
    </w:p>
    <w:p w14:paraId="1A2AE46F" w14:textId="77777777" w:rsidR="00101E9F" w:rsidRPr="00863FDD" w:rsidRDefault="003D703C" w:rsidP="00863FDD">
      <w:pPr>
        <w:pStyle w:val="NormalWeb"/>
        <w:shd w:val="clear" w:color="auto" w:fill="FFFFFF"/>
        <w:spacing w:before="120" w:after="0"/>
        <w:jc w:val="both"/>
        <w:rPr>
          <w:color w:val="333333"/>
        </w:rPr>
      </w:pPr>
      <w:hyperlink r:id="rId39" w:tooltip="23/09/2020 : TVA - Uniformisation de l'application des taux réduits aux droits d'entrée perçus pour les activités culturelles, ludiques, éducatives ou professionnelles (loi n° 2019-1479 du 28 décembre 2019 de finances pour 2020, art. 37)" w:history="1">
        <w:r w:rsidR="00101E9F" w:rsidRPr="00863FDD">
          <w:rPr>
            <w:rStyle w:val="Lienhypertexte"/>
          </w:rPr>
          <w:t>23/09/2020 : TVA - Uniformisation de l'application des taux réduits aux droits d'entrée perçus pour les activités culturelles, ludiques, éducatives ou professionnelles (loi n° 2019-1479 du 28 décembre 2019 de finances pour 2020, art. 37)</w:t>
        </w:r>
      </w:hyperlink>
    </w:p>
    <w:p w14:paraId="7A8A314A" w14:textId="77777777" w:rsidR="00101E9F" w:rsidRPr="00863FDD" w:rsidRDefault="003D703C" w:rsidP="00863FDD">
      <w:pPr>
        <w:pStyle w:val="NormalWeb"/>
        <w:shd w:val="clear" w:color="auto" w:fill="FFFFFF"/>
        <w:spacing w:before="120" w:after="0"/>
        <w:jc w:val="both"/>
        <w:rPr>
          <w:color w:val="333333"/>
        </w:rPr>
      </w:pPr>
      <w:hyperlink r:id="rId40" w:tooltip="23/09/2020 : TVA - Taux de TVA applicable aux systèmes de fixation permettant d’accrocher un fauteuil roulant à une trottinette électrique - Rescrit" w:history="1">
        <w:r w:rsidR="00101E9F" w:rsidRPr="00863FDD">
          <w:rPr>
            <w:rStyle w:val="Lienhypertexte"/>
          </w:rPr>
          <w:t>23/09/2020 : TVA - Taux de TVA applicable aux systèmes de fixation permettant d’accrocher un fauteuil roulant à une trottinette électrique - Rescrit</w:t>
        </w:r>
      </w:hyperlink>
    </w:p>
    <w:p w14:paraId="2291E237" w14:textId="77777777" w:rsidR="00101E9F" w:rsidRPr="00863FDD" w:rsidRDefault="003D703C" w:rsidP="00863FDD">
      <w:pPr>
        <w:pStyle w:val="NormalWeb"/>
        <w:shd w:val="clear" w:color="auto" w:fill="FFFFFF"/>
        <w:spacing w:before="120" w:after="0"/>
        <w:jc w:val="both"/>
        <w:rPr>
          <w:color w:val="333333"/>
        </w:rPr>
      </w:pPr>
      <w:hyperlink r:id="rId41" w:tooltip="23/09/2020 : TVA - Taux de TVA applicable aux prestations connexes de la location de pompes à insuline (formations initiales et continues)" w:history="1">
        <w:r w:rsidR="00101E9F" w:rsidRPr="00863FDD">
          <w:rPr>
            <w:rStyle w:val="Lienhypertexte"/>
          </w:rPr>
          <w:t>23/09/2020 : TVA - Taux de TVA applicable aux prestations connexes de la location de pompes à insuline (formations initiales et continues)</w:t>
        </w:r>
      </w:hyperlink>
    </w:p>
    <w:p w14:paraId="51A0150C" w14:textId="77777777" w:rsidR="00101E9F" w:rsidRPr="00863FDD" w:rsidRDefault="003D703C" w:rsidP="00863FDD">
      <w:pPr>
        <w:pStyle w:val="NormalWeb"/>
        <w:shd w:val="clear" w:color="auto" w:fill="FFFFFF"/>
        <w:spacing w:before="120" w:after="0"/>
        <w:jc w:val="both"/>
        <w:rPr>
          <w:color w:val="333333"/>
        </w:rPr>
      </w:pPr>
      <w:hyperlink r:id="rId42" w:tooltip="09/09/2020 : TVA - Actualisation de la liste des liaisons ferroviaires internationales bénéficiant de l'exonération de TVA mentionnée au 9° du II de l'article 262 du CGI (arrêté du 16 août 2017)" w:history="1">
        <w:r w:rsidR="00101E9F" w:rsidRPr="00863FDD">
          <w:rPr>
            <w:rStyle w:val="Lienhypertexte"/>
          </w:rPr>
          <w:t>09/09/2020 : TVA - Actualisation de la liste des liaisons ferroviaires internationales bénéficiant de l'exonération de TVA mentionnée au 9° du II de l'article 262 du CGI (arrêté du 16 août 2017)</w:t>
        </w:r>
      </w:hyperlink>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43"/>
      <w:headerReference w:type="first" r:id="rId44"/>
      <w:footerReference w:type="first" r:id="rId45"/>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79E47" w14:textId="77777777" w:rsidR="003D703C" w:rsidRDefault="003D703C">
      <w:r>
        <w:separator/>
      </w:r>
    </w:p>
  </w:endnote>
  <w:endnote w:type="continuationSeparator" w:id="0">
    <w:p w14:paraId="0C0F861B" w14:textId="77777777" w:rsidR="003D703C" w:rsidRDefault="003D7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DE53D196-14F1-49CB-BBE3-902D6C00AEDE}"/>
    <w:embedBold r:id="rId2" w:fontKey="{6B099B96-23E9-496A-A4E7-10569D35B59C}"/>
    <w:embedItalic r:id="rId3" w:fontKey="{66ACB203-77FF-4C1D-B15A-BD9A84F1A007}"/>
    <w:embedBoldItalic r:id="rId4" w:fontKey="{B8B02F8F-8885-403F-A559-C94E7FB30146}"/>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subsetted="1" w:fontKey="{84C2B267-18E1-4E49-9160-8558C980771C}"/>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6" w:subsetted="1" w:fontKey="{B2B61CE0-8494-4B07-8B6D-EE94FAC0E5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993A6" w14:textId="77777777" w:rsidR="003D703C" w:rsidRDefault="003D703C">
      <w:r>
        <w:separator/>
      </w:r>
    </w:p>
  </w:footnote>
  <w:footnote w:type="continuationSeparator" w:id="0">
    <w:p w14:paraId="3A5C15E8" w14:textId="77777777" w:rsidR="003D703C" w:rsidRDefault="003D7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groupe </w:t>
          </w:r>
        </w:p>
        <w:p w14:paraId="656EF8C4" w14:textId="45105043" w:rsidR="00E72D0D" w:rsidRPr="00E35CBE" w:rsidRDefault="00BE49D6" w:rsidP="00E35CBE">
          <w:pPr>
            <w:pStyle w:val="En-tte"/>
            <w:tabs>
              <w:tab w:val="clear" w:pos="4536"/>
            </w:tabs>
            <w:spacing w:before="0" w:after="0" w:line="240" w:lineRule="auto"/>
            <w:rPr>
              <w:sz w:val="20"/>
            </w:rPr>
          </w:pPr>
          <w:fldSimple w:instr=" FILENAME   \* MERGEFORMAT ">
            <w:r w:rsidR="00B50478" w:rsidRPr="00B50478">
              <w:rPr>
                <w:noProof/>
                <w:sz w:val="20"/>
              </w:rPr>
              <w:t>Comptes-La revue -2020-0</w:t>
            </w:r>
            <w:r w:rsidR="00101E9F">
              <w:rPr>
                <w:noProof/>
                <w:sz w:val="20"/>
              </w:rPr>
              <w:t>9-10</w:t>
            </w:r>
          </w:fldSimple>
        </w:p>
        <w:p w14:paraId="6D4A75FB" w14:textId="59B08A56" w:rsidR="00E72D0D" w:rsidRDefault="00E72D0D" w:rsidP="00E911FE">
          <w:pPr>
            <w:pStyle w:val="En-tte"/>
            <w:tabs>
              <w:tab w:val="clear" w:pos="4536"/>
            </w:tabs>
            <w:spacing w:before="0" w:after="0" w:line="240" w:lineRule="auto"/>
          </w:pPr>
          <w:r w:rsidRPr="00195236">
            <w:rPr>
              <w:sz w:val="20"/>
            </w:rPr>
            <w:t xml:space="preserve">Version </w:t>
          </w:r>
          <w:r w:rsidRPr="00D12904">
            <w:rPr>
              <w:sz w:val="20"/>
            </w:rPr>
            <w:t xml:space="preserve">du </w:t>
          </w:r>
          <w:r w:rsidR="006970D2">
            <w:rPr>
              <w:sz w:val="20"/>
            </w:rPr>
            <w:t>29</w:t>
          </w:r>
          <w:r w:rsidR="00101E9F">
            <w:rPr>
              <w:sz w:val="20"/>
            </w:rPr>
            <w:t xml:space="preserve"> octobre </w:t>
          </w:r>
          <w:r>
            <w:rPr>
              <w:sz w:val="20"/>
            </w:rPr>
            <w:t>2020</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proofErr w:type="spellStart"/>
          <w:r w:rsidRPr="00F5762B">
            <w:rPr>
              <w:color w:val="143300"/>
              <w:spacing w:val="16"/>
              <w:w w:val="97"/>
              <w:sz w:val="20"/>
            </w:rPr>
            <w:t>s.a.r.l.</w:t>
          </w:r>
          <w:proofErr w:type="spellEnd"/>
          <w:r w:rsidRPr="00F5762B">
            <w:rPr>
              <w:color w:val="143300"/>
              <w:spacing w:val="16"/>
              <w:w w:val="97"/>
              <w:sz w:val="20"/>
            </w:rPr>
            <w:t xml:space="preserve">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06" type="#_x0000_t75" style="width:3in;height:3in" o:bullet="t"/>
    </w:pict>
  </w:numPicBullet>
  <w:numPicBullet w:numPicBulletId="1">
    <w:pict>
      <v:shape id="_x0000_i3707" type="#_x0000_t75" style="width:3in;height:3in" o:bullet="t"/>
    </w:pict>
  </w:numPicBullet>
  <w:numPicBullet w:numPicBulletId="2">
    <w:pict>
      <v:shape id="_x0000_i3708" type="#_x0000_t75" style="width:3in;height:3in" o:bullet="t"/>
    </w:pict>
  </w:numPicBullet>
  <w:numPicBullet w:numPicBulletId="3">
    <w:pict>
      <v:shape id="_x0000_i3709" type="#_x0000_t75" style="width:3in;height:3in" o:bullet="t"/>
    </w:pict>
  </w:numPicBullet>
  <w:numPicBullet w:numPicBulletId="4">
    <w:pict>
      <v:shape id="_x0000_i3710" type="#_x0000_t75" style="width:3in;height:3in" o:bullet="t"/>
    </w:pict>
  </w:numPicBullet>
  <w:numPicBullet w:numPicBulletId="5">
    <w:pict>
      <v:shape id="_x0000_i3711" type="#_x0000_t75" style="width:3in;height:3in" o:bullet="t"/>
    </w:pict>
  </w:numPicBullet>
  <w:numPicBullet w:numPicBulletId="6">
    <w:pict>
      <v:shape id="_x0000_i3712" type="#_x0000_t75" style="width:3in;height:3in" o:bullet="t"/>
    </w:pict>
  </w:numPicBullet>
  <w:numPicBullet w:numPicBulletId="7">
    <w:pict>
      <v:shape id="_x0000_i3713" type="#_x0000_t75" style="width:3in;height:3in" o:bullet="t"/>
    </w:pict>
  </w:numPicBullet>
  <w:numPicBullet w:numPicBulletId="8">
    <w:pict>
      <v:shape id="_x0000_i3714" type="#_x0000_t75" style="width:3in;height:3in" o:bullet="t"/>
    </w:pict>
  </w:numPicBullet>
  <w:numPicBullet w:numPicBulletId="9">
    <w:pict>
      <v:shape id="_x0000_i3715" type="#_x0000_t75" style="width:3in;height:3in" o:bullet="t"/>
    </w:pict>
  </w:numPicBullet>
  <w:numPicBullet w:numPicBulletId="10">
    <w:pict>
      <v:shape id="_x0000_i3716" type="#_x0000_t75" style="width:3in;height:3in" o:bullet="t"/>
    </w:pict>
  </w:numPicBullet>
  <w:numPicBullet w:numPicBulletId="11">
    <w:pict>
      <v:shape id="_x0000_i3717" type="#_x0000_t75" style="width:3in;height:3in" o:bullet="t"/>
    </w:pict>
  </w:numPicBullet>
  <w:numPicBullet w:numPicBulletId="12">
    <w:pict>
      <v:shape id="_x0000_i3718" type="#_x0000_t75" style="width:3in;height:3in" o:bullet="t"/>
    </w:pict>
  </w:numPicBullet>
  <w:numPicBullet w:numPicBulletId="13">
    <w:pict>
      <v:shape id="_x0000_i3719" type="#_x0000_t75" style="width:3in;height:3in" o:bullet="t"/>
    </w:pict>
  </w:numPicBullet>
  <w:numPicBullet w:numPicBulletId="14">
    <w:pict>
      <v:shape id="_x0000_i3720" type="#_x0000_t75" style="width:3in;height:3in" o:bullet="t"/>
    </w:pict>
  </w:numPicBullet>
  <w:numPicBullet w:numPicBulletId="15">
    <w:pict>
      <v:shape id="_x0000_i3721" type="#_x0000_t75" style="width:3in;height:3in" o:bullet="t"/>
    </w:pict>
  </w:numPicBullet>
  <w:numPicBullet w:numPicBulletId="16">
    <w:pict>
      <v:shape id="_x0000_i3722" type="#_x0000_t75" style="width:3in;height:3in" o:bullet="t"/>
    </w:pict>
  </w:numPicBullet>
  <w:numPicBullet w:numPicBulletId="17">
    <w:pict>
      <v:shape id="_x0000_i3723" type="#_x0000_t75" style="width:3in;height:3in" o:bullet="t"/>
    </w:pict>
  </w:numPicBullet>
  <w:numPicBullet w:numPicBulletId="18">
    <w:pict>
      <v:shape id="_x0000_i3724" type="#_x0000_t75" style="width:3in;height:3in" o:bullet="t"/>
    </w:pict>
  </w:numPicBullet>
  <w:numPicBullet w:numPicBulletId="19">
    <w:pict>
      <v:shape id="_x0000_i3725" type="#_x0000_t75" style="width:3in;height:3in" o:bullet="t"/>
    </w:pict>
  </w:numPicBullet>
  <w:abstractNum w:abstractNumId="0"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0"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30"/>
  </w:num>
  <w:num w:numId="5">
    <w:abstractNumId w:val="24"/>
  </w:num>
  <w:num w:numId="6">
    <w:abstractNumId w:val="20"/>
  </w:num>
  <w:num w:numId="7">
    <w:abstractNumId w:val="7"/>
  </w:num>
  <w:num w:numId="8">
    <w:abstractNumId w:val="14"/>
  </w:num>
  <w:num w:numId="9">
    <w:abstractNumId w:val="19"/>
  </w:num>
  <w:num w:numId="10">
    <w:abstractNumId w:val="15"/>
  </w:num>
  <w:num w:numId="11">
    <w:abstractNumId w:val="12"/>
  </w:num>
  <w:num w:numId="12">
    <w:abstractNumId w:val="13"/>
  </w:num>
  <w:num w:numId="13">
    <w:abstractNumId w:val="31"/>
  </w:num>
  <w:num w:numId="14">
    <w:abstractNumId w:val="22"/>
  </w:num>
  <w:num w:numId="15">
    <w:abstractNumId w:val="25"/>
  </w:num>
  <w:num w:numId="16">
    <w:abstractNumId w:val="2"/>
  </w:num>
  <w:num w:numId="17">
    <w:abstractNumId w:val="26"/>
  </w:num>
  <w:num w:numId="18">
    <w:abstractNumId w:val="17"/>
  </w:num>
  <w:num w:numId="19">
    <w:abstractNumId w:val="21"/>
  </w:num>
  <w:num w:numId="20">
    <w:abstractNumId w:val="23"/>
  </w:num>
  <w:num w:numId="21">
    <w:abstractNumId w:val="27"/>
  </w:num>
  <w:num w:numId="22">
    <w:abstractNumId w:val="29"/>
  </w:num>
  <w:num w:numId="23">
    <w:abstractNumId w:val="4"/>
  </w:num>
  <w:num w:numId="24">
    <w:abstractNumId w:val="16"/>
  </w:num>
  <w:num w:numId="25">
    <w:abstractNumId w:val="8"/>
  </w:num>
  <w:num w:numId="26">
    <w:abstractNumId w:val="10"/>
  </w:num>
  <w:num w:numId="27">
    <w:abstractNumId w:val="18"/>
  </w:num>
  <w:num w:numId="28">
    <w:abstractNumId w:val="9"/>
  </w:num>
  <w:num w:numId="29">
    <w:abstractNumId w:val="3"/>
  </w:num>
  <w:num w:numId="30">
    <w:abstractNumId w:val="11"/>
  </w:num>
  <w:num w:numId="31">
    <w:abstractNumId w:val="32"/>
  </w:num>
  <w:num w:numId="32">
    <w:abstractNumId w:val="28"/>
  </w:num>
  <w:num w:numId="3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D11"/>
    <w:rsid w:val="000147D2"/>
    <w:rsid w:val="00014AD5"/>
    <w:rsid w:val="000150EF"/>
    <w:rsid w:val="00015C95"/>
    <w:rsid w:val="000163EC"/>
    <w:rsid w:val="00016A1A"/>
    <w:rsid w:val="00017A6A"/>
    <w:rsid w:val="00020F5E"/>
    <w:rsid w:val="0002163A"/>
    <w:rsid w:val="00021BFC"/>
    <w:rsid w:val="000222C8"/>
    <w:rsid w:val="000232E9"/>
    <w:rsid w:val="00024E6E"/>
    <w:rsid w:val="000255CB"/>
    <w:rsid w:val="000265C2"/>
    <w:rsid w:val="00030F8C"/>
    <w:rsid w:val="00032F29"/>
    <w:rsid w:val="00033DAC"/>
    <w:rsid w:val="00034C4B"/>
    <w:rsid w:val="000359AC"/>
    <w:rsid w:val="0003696E"/>
    <w:rsid w:val="00036CCB"/>
    <w:rsid w:val="000373EB"/>
    <w:rsid w:val="00040819"/>
    <w:rsid w:val="000413B1"/>
    <w:rsid w:val="00041735"/>
    <w:rsid w:val="00043591"/>
    <w:rsid w:val="00045433"/>
    <w:rsid w:val="000467C1"/>
    <w:rsid w:val="00046E70"/>
    <w:rsid w:val="0005057B"/>
    <w:rsid w:val="00050B4B"/>
    <w:rsid w:val="00051274"/>
    <w:rsid w:val="00051EAE"/>
    <w:rsid w:val="00051ECF"/>
    <w:rsid w:val="0005293C"/>
    <w:rsid w:val="00053101"/>
    <w:rsid w:val="00053719"/>
    <w:rsid w:val="00053B9A"/>
    <w:rsid w:val="00055D3E"/>
    <w:rsid w:val="00055DB6"/>
    <w:rsid w:val="00056194"/>
    <w:rsid w:val="00057782"/>
    <w:rsid w:val="0006013C"/>
    <w:rsid w:val="000608F2"/>
    <w:rsid w:val="0006108E"/>
    <w:rsid w:val="00063997"/>
    <w:rsid w:val="00064590"/>
    <w:rsid w:val="00064C94"/>
    <w:rsid w:val="0006655B"/>
    <w:rsid w:val="000678EE"/>
    <w:rsid w:val="00067B60"/>
    <w:rsid w:val="00067DAC"/>
    <w:rsid w:val="000717C8"/>
    <w:rsid w:val="00072E8A"/>
    <w:rsid w:val="00073476"/>
    <w:rsid w:val="00073CD6"/>
    <w:rsid w:val="000745B8"/>
    <w:rsid w:val="00074933"/>
    <w:rsid w:val="00074A38"/>
    <w:rsid w:val="000758F5"/>
    <w:rsid w:val="00076849"/>
    <w:rsid w:val="00076EFC"/>
    <w:rsid w:val="00081001"/>
    <w:rsid w:val="00084540"/>
    <w:rsid w:val="00084B1E"/>
    <w:rsid w:val="00090564"/>
    <w:rsid w:val="00090E39"/>
    <w:rsid w:val="00091823"/>
    <w:rsid w:val="00091C56"/>
    <w:rsid w:val="000933BB"/>
    <w:rsid w:val="0009376D"/>
    <w:rsid w:val="00094A9B"/>
    <w:rsid w:val="000A06CA"/>
    <w:rsid w:val="000A2611"/>
    <w:rsid w:val="000A2638"/>
    <w:rsid w:val="000A4E49"/>
    <w:rsid w:val="000A5861"/>
    <w:rsid w:val="000A608C"/>
    <w:rsid w:val="000B229D"/>
    <w:rsid w:val="000B2BDF"/>
    <w:rsid w:val="000B2F8C"/>
    <w:rsid w:val="000B4704"/>
    <w:rsid w:val="000B4A1D"/>
    <w:rsid w:val="000B7095"/>
    <w:rsid w:val="000B7908"/>
    <w:rsid w:val="000B79A7"/>
    <w:rsid w:val="000B7F18"/>
    <w:rsid w:val="000C140B"/>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608B"/>
    <w:rsid w:val="000E08FB"/>
    <w:rsid w:val="000E0DC6"/>
    <w:rsid w:val="000E319A"/>
    <w:rsid w:val="000E3328"/>
    <w:rsid w:val="000E3516"/>
    <w:rsid w:val="000E39DC"/>
    <w:rsid w:val="000E41E8"/>
    <w:rsid w:val="000E51AD"/>
    <w:rsid w:val="000E59E8"/>
    <w:rsid w:val="000E627C"/>
    <w:rsid w:val="000E6935"/>
    <w:rsid w:val="000E7DDF"/>
    <w:rsid w:val="000F0F17"/>
    <w:rsid w:val="000F33AC"/>
    <w:rsid w:val="000F42E7"/>
    <w:rsid w:val="000F4552"/>
    <w:rsid w:val="000F5BDB"/>
    <w:rsid w:val="000F60CB"/>
    <w:rsid w:val="000F73B1"/>
    <w:rsid w:val="000F7BEE"/>
    <w:rsid w:val="0010058A"/>
    <w:rsid w:val="00100BDC"/>
    <w:rsid w:val="00100CC9"/>
    <w:rsid w:val="00101247"/>
    <w:rsid w:val="00101993"/>
    <w:rsid w:val="00101DEE"/>
    <w:rsid w:val="00101E9F"/>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61C0"/>
    <w:rsid w:val="001301B7"/>
    <w:rsid w:val="00131C20"/>
    <w:rsid w:val="00131E17"/>
    <w:rsid w:val="001323B2"/>
    <w:rsid w:val="001326AB"/>
    <w:rsid w:val="001330AE"/>
    <w:rsid w:val="00134462"/>
    <w:rsid w:val="00135215"/>
    <w:rsid w:val="0014087D"/>
    <w:rsid w:val="00140B52"/>
    <w:rsid w:val="00141880"/>
    <w:rsid w:val="00141F5F"/>
    <w:rsid w:val="00141F8D"/>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70A73"/>
    <w:rsid w:val="001713B8"/>
    <w:rsid w:val="00172B5D"/>
    <w:rsid w:val="00172E58"/>
    <w:rsid w:val="001739F7"/>
    <w:rsid w:val="001741DD"/>
    <w:rsid w:val="00175A70"/>
    <w:rsid w:val="00175AFB"/>
    <w:rsid w:val="0017792F"/>
    <w:rsid w:val="00177D6A"/>
    <w:rsid w:val="001806EE"/>
    <w:rsid w:val="0018125E"/>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57A4"/>
    <w:rsid w:val="001A6AF7"/>
    <w:rsid w:val="001A73BA"/>
    <w:rsid w:val="001A7CA2"/>
    <w:rsid w:val="001B0BA0"/>
    <w:rsid w:val="001B0EFA"/>
    <w:rsid w:val="001B24A8"/>
    <w:rsid w:val="001B2E8E"/>
    <w:rsid w:val="001B33BC"/>
    <w:rsid w:val="001B353E"/>
    <w:rsid w:val="001B3966"/>
    <w:rsid w:val="001B4427"/>
    <w:rsid w:val="001B4789"/>
    <w:rsid w:val="001B5458"/>
    <w:rsid w:val="001B6EBE"/>
    <w:rsid w:val="001B756A"/>
    <w:rsid w:val="001C1A2B"/>
    <w:rsid w:val="001C2124"/>
    <w:rsid w:val="001C2FF5"/>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BC4"/>
    <w:rsid w:val="002001A9"/>
    <w:rsid w:val="00200679"/>
    <w:rsid w:val="00201E77"/>
    <w:rsid w:val="00202AC9"/>
    <w:rsid w:val="002035CE"/>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1531"/>
    <w:rsid w:val="00222434"/>
    <w:rsid w:val="002232FA"/>
    <w:rsid w:val="00223947"/>
    <w:rsid w:val="00224BEC"/>
    <w:rsid w:val="00225833"/>
    <w:rsid w:val="00225A14"/>
    <w:rsid w:val="00226093"/>
    <w:rsid w:val="0022620D"/>
    <w:rsid w:val="00226C9C"/>
    <w:rsid w:val="00227012"/>
    <w:rsid w:val="00227B8C"/>
    <w:rsid w:val="00227DDE"/>
    <w:rsid w:val="00231BDF"/>
    <w:rsid w:val="00233795"/>
    <w:rsid w:val="00233C80"/>
    <w:rsid w:val="002343AA"/>
    <w:rsid w:val="00234934"/>
    <w:rsid w:val="00236D30"/>
    <w:rsid w:val="00237147"/>
    <w:rsid w:val="002371C7"/>
    <w:rsid w:val="00237870"/>
    <w:rsid w:val="00241C6B"/>
    <w:rsid w:val="0024317E"/>
    <w:rsid w:val="002444C0"/>
    <w:rsid w:val="00250C0A"/>
    <w:rsid w:val="00251131"/>
    <w:rsid w:val="00251383"/>
    <w:rsid w:val="00252583"/>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C25"/>
    <w:rsid w:val="00275C45"/>
    <w:rsid w:val="00276933"/>
    <w:rsid w:val="00276CC5"/>
    <w:rsid w:val="0028027C"/>
    <w:rsid w:val="00280519"/>
    <w:rsid w:val="002835EC"/>
    <w:rsid w:val="0028407D"/>
    <w:rsid w:val="00284217"/>
    <w:rsid w:val="00285054"/>
    <w:rsid w:val="002857CF"/>
    <w:rsid w:val="00285E77"/>
    <w:rsid w:val="002863CA"/>
    <w:rsid w:val="00290E48"/>
    <w:rsid w:val="002913D8"/>
    <w:rsid w:val="00292773"/>
    <w:rsid w:val="002943E7"/>
    <w:rsid w:val="00295D75"/>
    <w:rsid w:val="00295DF1"/>
    <w:rsid w:val="00295E1C"/>
    <w:rsid w:val="00296558"/>
    <w:rsid w:val="002976C6"/>
    <w:rsid w:val="00297D2D"/>
    <w:rsid w:val="002A0405"/>
    <w:rsid w:val="002A077E"/>
    <w:rsid w:val="002A0DC7"/>
    <w:rsid w:val="002A16DD"/>
    <w:rsid w:val="002A1A91"/>
    <w:rsid w:val="002A3D77"/>
    <w:rsid w:val="002A4F67"/>
    <w:rsid w:val="002A5721"/>
    <w:rsid w:val="002A720B"/>
    <w:rsid w:val="002B0DFA"/>
    <w:rsid w:val="002B278C"/>
    <w:rsid w:val="002B68E8"/>
    <w:rsid w:val="002B7698"/>
    <w:rsid w:val="002C0A4B"/>
    <w:rsid w:val="002C1D26"/>
    <w:rsid w:val="002C1F50"/>
    <w:rsid w:val="002C4782"/>
    <w:rsid w:val="002C5621"/>
    <w:rsid w:val="002C5801"/>
    <w:rsid w:val="002C5F84"/>
    <w:rsid w:val="002C6EF2"/>
    <w:rsid w:val="002C7CD2"/>
    <w:rsid w:val="002D136E"/>
    <w:rsid w:val="002D1B9A"/>
    <w:rsid w:val="002D38A3"/>
    <w:rsid w:val="002D485D"/>
    <w:rsid w:val="002D48F6"/>
    <w:rsid w:val="002D53C6"/>
    <w:rsid w:val="002D5C47"/>
    <w:rsid w:val="002D69F3"/>
    <w:rsid w:val="002E168C"/>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C5C"/>
    <w:rsid w:val="00355727"/>
    <w:rsid w:val="003558DA"/>
    <w:rsid w:val="00355A4A"/>
    <w:rsid w:val="003565C4"/>
    <w:rsid w:val="003572B4"/>
    <w:rsid w:val="003572CE"/>
    <w:rsid w:val="0036090D"/>
    <w:rsid w:val="00361D1C"/>
    <w:rsid w:val="00361F92"/>
    <w:rsid w:val="003632EE"/>
    <w:rsid w:val="00363E8F"/>
    <w:rsid w:val="00364571"/>
    <w:rsid w:val="003646B4"/>
    <w:rsid w:val="0036516B"/>
    <w:rsid w:val="00365D04"/>
    <w:rsid w:val="003668D6"/>
    <w:rsid w:val="003673ED"/>
    <w:rsid w:val="00371C9E"/>
    <w:rsid w:val="0037246C"/>
    <w:rsid w:val="00373028"/>
    <w:rsid w:val="003741CD"/>
    <w:rsid w:val="00375817"/>
    <w:rsid w:val="00377502"/>
    <w:rsid w:val="00377D2E"/>
    <w:rsid w:val="00381150"/>
    <w:rsid w:val="0038127B"/>
    <w:rsid w:val="0038523D"/>
    <w:rsid w:val="0038571F"/>
    <w:rsid w:val="0038655B"/>
    <w:rsid w:val="00390D3A"/>
    <w:rsid w:val="003911B9"/>
    <w:rsid w:val="00391CBF"/>
    <w:rsid w:val="00392252"/>
    <w:rsid w:val="00392C63"/>
    <w:rsid w:val="00393602"/>
    <w:rsid w:val="00394E62"/>
    <w:rsid w:val="003952A4"/>
    <w:rsid w:val="0039714F"/>
    <w:rsid w:val="003977E9"/>
    <w:rsid w:val="003A02C8"/>
    <w:rsid w:val="003A0560"/>
    <w:rsid w:val="003A0B86"/>
    <w:rsid w:val="003A1BB5"/>
    <w:rsid w:val="003A1F76"/>
    <w:rsid w:val="003A2D13"/>
    <w:rsid w:val="003A2EC4"/>
    <w:rsid w:val="003A354B"/>
    <w:rsid w:val="003A4E93"/>
    <w:rsid w:val="003A5688"/>
    <w:rsid w:val="003A590E"/>
    <w:rsid w:val="003A61C3"/>
    <w:rsid w:val="003A6CB6"/>
    <w:rsid w:val="003A6CC6"/>
    <w:rsid w:val="003B0210"/>
    <w:rsid w:val="003B063C"/>
    <w:rsid w:val="003B0EC1"/>
    <w:rsid w:val="003B18B4"/>
    <w:rsid w:val="003B1F77"/>
    <w:rsid w:val="003B434F"/>
    <w:rsid w:val="003B5B63"/>
    <w:rsid w:val="003B70C5"/>
    <w:rsid w:val="003B715D"/>
    <w:rsid w:val="003C0356"/>
    <w:rsid w:val="003C0A8D"/>
    <w:rsid w:val="003C2F94"/>
    <w:rsid w:val="003C300E"/>
    <w:rsid w:val="003C3102"/>
    <w:rsid w:val="003C380A"/>
    <w:rsid w:val="003C4CF0"/>
    <w:rsid w:val="003C576E"/>
    <w:rsid w:val="003D2EBE"/>
    <w:rsid w:val="003D3492"/>
    <w:rsid w:val="003D36E0"/>
    <w:rsid w:val="003D50FE"/>
    <w:rsid w:val="003D66A1"/>
    <w:rsid w:val="003D67EC"/>
    <w:rsid w:val="003D703C"/>
    <w:rsid w:val="003E0924"/>
    <w:rsid w:val="003E11D2"/>
    <w:rsid w:val="003E2535"/>
    <w:rsid w:val="003E3575"/>
    <w:rsid w:val="003E3A33"/>
    <w:rsid w:val="003E60EE"/>
    <w:rsid w:val="003E6850"/>
    <w:rsid w:val="003E7F44"/>
    <w:rsid w:val="003F1452"/>
    <w:rsid w:val="003F1720"/>
    <w:rsid w:val="003F2143"/>
    <w:rsid w:val="003F48A1"/>
    <w:rsid w:val="003F5AD9"/>
    <w:rsid w:val="003F7378"/>
    <w:rsid w:val="003F7CBF"/>
    <w:rsid w:val="004002FC"/>
    <w:rsid w:val="004004B3"/>
    <w:rsid w:val="004020D6"/>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4B1"/>
    <w:rsid w:val="004234C2"/>
    <w:rsid w:val="004235EB"/>
    <w:rsid w:val="0042642B"/>
    <w:rsid w:val="00426620"/>
    <w:rsid w:val="004269B3"/>
    <w:rsid w:val="004270D6"/>
    <w:rsid w:val="004274B5"/>
    <w:rsid w:val="00427B66"/>
    <w:rsid w:val="00430F52"/>
    <w:rsid w:val="0043114C"/>
    <w:rsid w:val="004324DE"/>
    <w:rsid w:val="00432754"/>
    <w:rsid w:val="00432C69"/>
    <w:rsid w:val="00432F68"/>
    <w:rsid w:val="00433A4A"/>
    <w:rsid w:val="00434165"/>
    <w:rsid w:val="00434F5E"/>
    <w:rsid w:val="004353E9"/>
    <w:rsid w:val="0043628A"/>
    <w:rsid w:val="004378F6"/>
    <w:rsid w:val="004408BD"/>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567"/>
    <w:rsid w:val="00457EFE"/>
    <w:rsid w:val="004604DD"/>
    <w:rsid w:val="00460A35"/>
    <w:rsid w:val="00460E19"/>
    <w:rsid w:val="00461082"/>
    <w:rsid w:val="00461336"/>
    <w:rsid w:val="00461C06"/>
    <w:rsid w:val="00462AA6"/>
    <w:rsid w:val="0046364B"/>
    <w:rsid w:val="00464131"/>
    <w:rsid w:val="00465EB9"/>
    <w:rsid w:val="004666AB"/>
    <w:rsid w:val="00466EFA"/>
    <w:rsid w:val="00470DB0"/>
    <w:rsid w:val="004710C4"/>
    <w:rsid w:val="00471472"/>
    <w:rsid w:val="0047157D"/>
    <w:rsid w:val="00471BF9"/>
    <w:rsid w:val="00473669"/>
    <w:rsid w:val="00473722"/>
    <w:rsid w:val="004749CE"/>
    <w:rsid w:val="004757BA"/>
    <w:rsid w:val="004763DE"/>
    <w:rsid w:val="0047692A"/>
    <w:rsid w:val="00477C56"/>
    <w:rsid w:val="00480114"/>
    <w:rsid w:val="004809CC"/>
    <w:rsid w:val="00481AE1"/>
    <w:rsid w:val="00482840"/>
    <w:rsid w:val="00482B5E"/>
    <w:rsid w:val="0048404A"/>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8D1"/>
    <w:rsid w:val="00497923"/>
    <w:rsid w:val="004A15E8"/>
    <w:rsid w:val="004A1AC2"/>
    <w:rsid w:val="004A3CE9"/>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3414"/>
    <w:rsid w:val="004C4D7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462E"/>
    <w:rsid w:val="004E610E"/>
    <w:rsid w:val="004E75DE"/>
    <w:rsid w:val="004F01ED"/>
    <w:rsid w:val="004F2F6E"/>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9B1"/>
    <w:rsid w:val="00557803"/>
    <w:rsid w:val="00561767"/>
    <w:rsid w:val="005626BD"/>
    <w:rsid w:val="00562933"/>
    <w:rsid w:val="00562F20"/>
    <w:rsid w:val="005631D2"/>
    <w:rsid w:val="005639CB"/>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6118"/>
    <w:rsid w:val="00596796"/>
    <w:rsid w:val="00596CAA"/>
    <w:rsid w:val="00596DF4"/>
    <w:rsid w:val="00597BC4"/>
    <w:rsid w:val="005A14FA"/>
    <w:rsid w:val="005A2410"/>
    <w:rsid w:val="005A3009"/>
    <w:rsid w:val="005A391C"/>
    <w:rsid w:val="005A3DCB"/>
    <w:rsid w:val="005B14F7"/>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7FE"/>
    <w:rsid w:val="0062013B"/>
    <w:rsid w:val="006218A1"/>
    <w:rsid w:val="006237A2"/>
    <w:rsid w:val="00623BBA"/>
    <w:rsid w:val="00625F3B"/>
    <w:rsid w:val="006264C5"/>
    <w:rsid w:val="00626D2B"/>
    <w:rsid w:val="0062736E"/>
    <w:rsid w:val="00630AC8"/>
    <w:rsid w:val="00631D11"/>
    <w:rsid w:val="00631F8F"/>
    <w:rsid w:val="006320BB"/>
    <w:rsid w:val="006323FC"/>
    <w:rsid w:val="0063278A"/>
    <w:rsid w:val="00633A42"/>
    <w:rsid w:val="00635679"/>
    <w:rsid w:val="00635CC4"/>
    <w:rsid w:val="00635CCA"/>
    <w:rsid w:val="00635CD3"/>
    <w:rsid w:val="0064035B"/>
    <w:rsid w:val="006412C8"/>
    <w:rsid w:val="00641B14"/>
    <w:rsid w:val="00642754"/>
    <w:rsid w:val="006442CD"/>
    <w:rsid w:val="00645BFF"/>
    <w:rsid w:val="00647B7A"/>
    <w:rsid w:val="006510EF"/>
    <w:rsid w:val="0065115B"/>
    <w:rsid w:val="006524AC"/>
    <w:rsid w:val="006528EB"/>
    <w:rsid w:val="0065370B"/>
    <w:rsid w:val="006542AC"/>
    <w:rsid w:val="00654B08"/>
    <w:rsid w:val="00655DA9"/>
    <w:rsid w:val="00655DED"/>
    <w:rsid w:val="00656A11"/>
    <w:rsid w:val="00656C51"/>
    <w:rsid w:val="0065734B"/>
    <w:rsid w:val="00657777"/>
    <w:rsid w:val="00657E6B"/>
    <w:rsid w:val="00661E97"/>
    <w:rsid w:val="00661F1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C5"/>
    <w:rsid w:val="006B1A8E"/>
    <w:rsid w:val="006B1E5F"/>
    <w:rsid w:val="006B2F92"/>
    <w:rsid w:val="006B330D"/>
    <w:rsid w:val="006B430F"/>
    <w:rsid w:val="006B4B6C"/>
    <w:rsid w:val="006B5D13"/>
    <w:rsid w:val="006B62DB"/>
    <w:rsid w:val="006B71B9"/>
    <w:rsid w:val="006C1146"/>
    <w:rsid w:val="006C22F8"/>
    <w:rsid w:val="006C241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F"/>
    <w:rsid w:val="006D6729"/>
    <w:rsid w:val="006D682F"/>
    <w:rsid w:val="006E1119"/>
    <w:rsid w:val="006E2068"/>
    <w:rsid w:val="006E239A"/>
    <w:rsid w:val="006E400A"/>
    <w:rsid w:val="006E412A"/>
    <w:rsid w:val="006E5CC9"/>
    <w:rsid w:val="006E63FD"/>
    <w:rsid w:val="006E66A9"/>
    <w:rsid w:val="006E6C5F"/>
    <w:rsid w:val="006E779A"/>
    <w:rsid w:val="006F03EF"/>
    <w:rsid w:val="006F1055"/>
    <w:rsid w:val="006F1A38"/>
    <w:rsid w:val="006F1BD8"/>
    <w:rsid w:val="006F50A0"/>
    <w:rsid w:val="006F6E9D"/>
    <w:rsid w:val="006F745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D6"/>
    <w:rsid w:val="00741C59"/>
    <w:rsid w:val="0074247D"/>
    <w:rsid w:val="00742D0E"/>
    <w:rsid w:val="00745E54"/>
    <w:rsid w:val="00750174"/>
    <w:rsid w:val="00750761"/>
    <w:rsid w:val="00751F61"/>
    <w:rsid w:val="007525A9"/>
    <w:rsid w:val="00755B51"/>
    <w:rsid w:val="00756D0C"/>
    <w:rsid w:val="007572F8"/>
    <w:rsid w:val="00757D88"/>
    <w:rsid w:val="00760E20"/>
    <w:rsid w:val="007611CD"/>
    <w:rsid w:val="007618D2"/>
    <w:rsid w:val="007625A2"/>
    <w:rsid w:val="007626B8"/>
    <w:rsid w:val="00763217"/>
    <w:rsid w:val="0076518B"/>
    <w:rsid w:val="007656D9"/>
    <w:rsid w:val="00767081"/>
    <w:rsid w:val="007677C1"/>
    <w:rsid w:val="007678F5"/>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761B"/>
    <w:rsid w:val="0078772C"/>
    <w:rsid w:val="00790A4C"/>
    <w:rsid w:val="007919E6"/>
    <w:rsid w:val="00792072"/>
    <w:rsid w:val="007926A6"/>
    <w:rsid w:val="00792C08"/>
    <w:rsid w:val="00793416"/>
    <w:rsid w:val="00793B2E"/>
    <w:rsid w:val="007948C1"/>
    <w:rsid w:val="007953C3"/>
    <w:rsid w:val="00796F33"/>
    <w:rsid w:val="00797B31"/>
    <w:rsid w:val="007A0CFC"/>
    <w:rsid w:val="007A1451"/>
    <w:rsid w:val="007A4A2C"/>
    <w:rsid w:val="007A52CA"/>
    <w:rsid w:val="007A68BF"/>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8AB"/>
    <w:rsid w:val="007C7EA0"/>
    <w:rsid w:val="007D1E38"/>
    <w:rsid w:val="007D2B85"/>
    <w:rsid w:val="007D3487"/>
    <w:rsid w:val="007D38B2"/>
    <w:rsid w:val="007D4F88"/>
    <w:rsid w:val="007D5C3B"/>
    <w:rsid w:val="007D640A"/>
    <w:rsid w:val="007D6651"/>
    <w:rsid w:val="007D7878"/>
    <w:rsid w:val="007E1978"/>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6B1"/>
    <w:rsid w:val="00830052"/>
    <w:rsid w:val="00830C31"/>
    <w:rsid w:val="00833E6A"/>
    <w:rsid w:val="00834743"/>
    <w:rsid w:val="008362B6"/>
    <w:rsid w:val="00836AA1"/>
    <w:rsid w:val="0083731E"/>
    <w:rsid w:val="00842002"/>
    <w:rsid w:val="008441AC"/>
    <w:rsid w:val="008442CC"/>
    <w:rsid w:val="00846F04"/>
    <w:rsid w:val="00846F7F"/>
    <w:rsid w:val="008475FA"/>
    <w:rsid w:val="00847B9B"/>
    <w:rsid w:val="00851CD5"/>
    <w:rsid w:val="00851D59"/>
    <w:rsid w:val="008532F8"/>
    <w:rsid w:val="00854432"/>
    <w:rsid w:val="00855B7D"/>
    <w:rsid w:val="00856CF2"/>
    <w:rsid w:val="00861BE7"/>
    <w:rsid w:val="00861E0F"/>
    <w:rsid w:val="00862039"/>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3E47"/>
    <w:rsid w:val="0088441B"/>
    <w:rsid w:val="008853AF"/>
    <w:rsid w:val="00886EB9"/>
    <w:rsid w:val="00887193"/>
    <w:rsid w:val="00887E2A"/>
    <w:rsid w:val="008916C8"/>
    <w:rsid w:val="00892795"/>
    <w:rsid w:val="00895168"/>
    <w:rsid w:val="00895B96"/>
    <w:rsid w:val="00896C31"/>
    <w:rsid w:val="008A22C9"/>
    <w:rsid w:val="008A3559"/>
    <w:rsid w:val="008A3ACD"/>
    <w:rsid w:val="008A3D8A"/>
    <w:rsid w:val="008A48C0"/>
    <w:rsid w:val="008A5AF5"/>
    <w:rsid w:val="008A73F6"/>
    <w:rsid w:val="008B00D6"/>
    <w:rsid w:val="008B057E"/>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2C31"/>
    <w:rsid w:val="008E2E8E"/>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264A"/>
    <w:rsid w:val="00932844"/>
    <w:rsid w:val="00932D95"/>
    <w:rsid w:val="00933A69"/>
    <w:rsid w:val="00934E58"/>
    <w:rsid w:val="00935507"/>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9095E"/>
    <w:rsid w:val="00990B2C"/>
    <w:rsid w:val="00990E89"/>
    <w:rsid w:val="0099114A"/>
    <w:rsid w:val="00991B7D"/>
    <w:rsid w:val="009921A4"/>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F77"/>
    <w:rsid w:val="00A030B3"/>
    <w:rsid w:val="00A04E89"/>
    <w:rsid w:val="00A04E9F"/>
    <w:rsid w:val="00A05CA0"/>
    <w:rsid w:val="00A07C5E"/>
    <w:rsid w:val="00A1006C"/>
    <w:rsid w:val="00A11F22"/>
    <w:rsid w:val="00A12A3B"/>
    <w:rsid w:val="00A12BE6"/>
    <w:rsid w:val="00A12FD7"/>
    <w:rsid w:val="00A15228"/>
    <w:rsid w:val="00A155D6"/>
    <w:rsid w:val="00A159D1"/>
    <w:rsid w:val="00A15B3A"/>
    <w:rsid w:val="00A163CC"/>
    <w:rsid w:val="00A16C9A"/>
    <w:rsid w:val="00A2041D"/>
    <w:rsid w:val="00A20ED3"/>
    <w:rsid w:val="00A212EE"/>
    <w:rsid w:val="00A223F3"/>
    <w:rsid w:val="00A23171"/>
    <w:rsid w:val="00A235D5"/>
    <w:rsid w:val="00A23702"/>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50038"/>
    <w:rsid w:val="00A51137"/>
    <w:rsid w:val="00A516B8"/>
    <w:rsid w:val="00A53C4C"/>
    <w:rsid w:val="00A53EC7"/>
    <w:rsid w:val="00A547DC"/>
    <w:rsid w:val="00A55337"/>
    <w:rsid w:val="00A56417"/>
    <w:rsid w:val="00A576BA"/>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D45"/>
    <w:rsid w:val="00AB5B85"/>
    <w:rsid w:val="00AB7858"/>
    <w:rsid w:val="00AB7A79"/>
    <w:rsid w:val="00AB7F89"/>
    <w:rsid w:val="00AC0915"/>
    <w:rsid w:val="00AC134E"/>
    <w:rsid w:val="00AC357A"/>
    <w:rsid w:val="00AC4DA5"/>
    <w:rsid w:val="00AC53F5"/>
    <w:rsid w:val="00AC5F8D"/>
    <w:rsid w:val="00AC6448"/>
    <w:rsid w:val="00AC64C1"/>
    <w:rsid w:val="00AC6F55"/>
    <w:rsid w:val="00AC7262"/>
    <w:rsid w:val="00AD0A8E"/>
    <w:rsid w:val="00AD28F4"/>
    <w:rsid w:val="00AD7560"/>
    <w:rsid w:val="00AD7B2D"/>
    <w:rsid w:val="00AE01D9"/>
    <w:rsid w:val="00AE06A7"/>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F2D"/>
    <w:rsid w:val="00B264DE"/>
    <w:rsid w:val="00B30D87"/>
    <w:rsid w:val="00B322F1"/>
    <w:rsid w:val="00B33079"/>
    <w:rsid w:val="00B33F5D"/>
    <w:rsid w:val="00B3605A"/>
    <w:rsid w:val="00B36523"/>
    <w:rsid w:val="00B36879"/>
    <w:rsid w:val="00B369E3"/>
    <w:rsid w:val="00B36C30"/>
    <w:rsid w:val="00B36D76"/>
    <w:rsid w:val="00B372F1"/>
    <w:rsid w:val="00B37B52"/>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EEC"/>
    <w:rsid w:val="00B57A6F"/>
    <w:rsid w:val="00B57ABA"/>
    <w:rsid w:val="00B57E19"/>
    <w:rsid w:val="00B61CCB"/>
    <w:rsid w:val="00B6244D"/>
    <w:rsid w:val="00B62E57"/>
    <w:rsid w:val="00B6446F"/>
    <w:rsid w:val="00B6472D"/>
    <w:rsid w:val="00B65E0F"/>
    <w:rsid w:val="00B6650B"/>
    <w:rsid w:val="00B66519"/>
    <w:rsid w:val="00B679D5"/>
    <w:rsid w:val="00B70341"/>
    <w:rsid w:val="00B71EB1"/>
    <w:rsid w:val="00B72E65"/>
    <w:rsid w:val="00B730F8"/>
    <w:rsid w:val="00B7372E"/>
    <w:rsid w:val="00B75C28"/>
    <w:rsid w:val="00B778A4"/>
    <w:rsid w:val="00B806B3"/>
    <w:rsid w:val="00B80A2F"/>
    <w:rsid w:val="00B81BC7"/>
    <w:rsid w:val="00B82128"/>
    <w:rsid w:val="00B823D3"/>
    <w:rsid w:val="00B82CC4"/>
    <w:rsid w:val="00B83FA4"/>
    <w:rsid w:val="00B85103"/>
    <w:rsid w:val="00B864B7"/>
    <w:rsid w:val="00B91288"/>
    <w:rsid w:val="00B91BD0"/>
    <w:rsid w:val="00B9232B"/>
    <w:rsid w:val="00B92CCE"/>
    <w:rsid w:val="00B92D12"/>
    <w:rsid w:val="00B92FC1"/>
    <w:rsid w:val="00B932BD"/>
    <w:rsid w:val="00B937E4"/>
    <w:rsid w:val="00B9448B"/>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589A"/>
    <w:rsid w:val="00BB5A98"/>
    <w:rsid w:val="00BB6F75"/>
    <w:rsid w:val="00BB7CFE"/>
    <w:rsid w:val="00BC0BEB"/>
    <w:rsid w:val="00BC12E2"/>
    <w:rsid w:val="00BC29EE"/>
    <w:rsid w:val="00BC38F3"/>
    <w:rsid w:val="00BC58F2"/>
    <w:rsid w:val="00BD174A"/>
    <w:rsid w:val="00BD253C"/>
    <w:rsid w:val="00BD3099"/>
    <w:rsid w:val="00BD3259"/>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17DA"/>
    <w:rsid w:val="00BF25B6"/>
    <w:rsid w:val="00BF3932"/>
    <w:rsid w:val="00BF4C16"/>
    <w:rsid w:val="00BF559E"/>
    <w:rsid w:val="00BF7355"/>
    <w:rsid w:val="00C000E0"/>
    <w:rsid w:val="00C03071"/>
    <w:rsid w:val="00C04067"/>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920"/>
    <w:rsid w:val="00C255B1"/>
    <w:rsid w:val="00C275DB"/>
    <w:rsid w:val="00C307AA"/>
    <w:rsid w:val="00C318E6"/>
    <w:rsid w:val="00C33170"/>
    <w:rsid w:val="00C33553"/>
    <w:rsid w:val="00C33D97"/>
    <w:rsid w:val="00C34445"/>
    <w:rsid w:val="00C34B2A"/>
    <w:rsid w:val="00C34D3D"/>
    <w:rsid w:val="00C34E53"/>
    <w:rsid w:val="00C351A6"/>
    <w:rsid w:val="00C3544D"/>
    <w:rsid w:val="00C355A4"/>
    <w:rsid w:val="00C372A5"/>
    <w:rsid w:val="00C40498"/>
    <w:rsid w:val="00C41A76"/>
    <w:rsid w:val="00C42C88"/>
    <w:rsid w:val="00C42CCE"/>
    <w:rsid w:val="00C43180"/>
    <w:rsid w:val="00C449CD"/>
    <w:rsid w:val="00C45914"/>
    <w:rsid w:val="00C46423"/>
    <w:rsid w:val="00C504A5"/>
    <w:rsid w:val="00C5204F"/>
    <w:rsid w:val="00C530AD"/>
    <w:rsid w:val="00C535E6"/>
    <w:rsid w:val="00C53653"/>
    <w:rsid w:val="00C5433B"/>
    <w:rsid w:val="00C5489A"/>
    <w:rsid w:val="00C551DC"/>
    <w:rsid w:val="00C552F2"/>
    <w:rsid w:val="00C56BF0"/>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729BC"/>
    <w:rsid w:val="00C72BBD"/>
    <w:rsid w:val="00C736BE"/>
    <w:rsid w:val="00C74A90"/>
    <w:rsid w:val="00C76722"/>
    <w:rsid w:val="00C771F0"/>
    <w:rsid w:val="00C8066A"/>
    <w:rsid w:val="00C815A2"/>
    <w:rsid w:val="00C829CB"/>
    <w:rsid w:val="00C8312E"/>
    <w:rsid w:val="00C83923"/>
    <w:rsid w:val="00C84455"/>
    <w:rsid w:val="00C860FA"/>
    <w:rsid w:val="00C8703C"/>
    <w:rsid w:val="00C874DF"/>
    <w:rsid w:val="00C9025F"/>
    <w:rsid w:val="00C90D8D"/>
    <w:rsid w:val="00C914B0"/>
    <w:rsid w:val="00C914B9"/>
    <w:rsid w:val="00C92DEC"/>
    <w:rsid w:val="00C930DF"/>
    <w:rsid w:val="00C931B9"/>
    <w:rsid w:val="00C93DF5"/>
    <w:rsid w:val="00C93F6F"/>
    <w:rsid w:val="00C94671"/>
    <w:rsid w:val="00C94790"/>
    <w:rsid w:val="00C956BB"/>
    <w:rsid w:val="00C959DF"/>
    <w:rsid w:val="00CA0463"/>
    <w:rsid w:val="00CA09B8"/>
    <w:rsid w:val="00CA26CC"/>
    <w:rsid w:val="00CA3583"/>
    <w:rsid w:val="00CA4EB1"/>
    <w:rsid w:val="00CA57F1"/>
    <w:rsid w:val="00CA673E"/>
    <w:rsid w:val="00CA6BDF"/>
    <w:rsid w:val="00CA72A7"/>
    <w:rsid w:val="00CB02AA"/>
    <w:rsid w:val="00CB0379"/>
    <w:rsid w:val="00CB2858"/>
    <w:rsid w:val="00CB2FC8"/>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6A1"/>
    <w:rsid w:val="00CC7C12"/>
    <w:rsid w:val="00CD188A"/>
    <w:rsid w:val="00CD2E85"/>
    <w:rsid w:val="00CD38BA"/>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31BD"/>
    <w:rsid w:val="00D039E8"/>
    <w:rsid w:val="00D042D1"/>
    <w:rsid w:val="00D04392"/>
    <w:rsid w:val="00D04A09"/>
    <w:rsid w:val="00D05720"/>
    <w:rsid w:val="00D05BDF"/>
    <w:rsid w:val="00D067F2"/>
    <w:rsid w:val="00D07ABB"/>
    <w:rsid w:val="00D12904"/>
    <w:rsid w:val="00D155D9"/>
    <w:rsid w:val="00D1561B"/>
    <w:rsid w:val="00D212B0"/>
    <w:rsid w:val="00D21D4A"/>
    <w:rsid w:val="00D2268A"/>
    <w:rsid w:val="00D24426"/>
    <w:rsid w:val="00D245D9"/>
    <w:rsid w:val="00D24D70"/>
    <w:rsid w:val="00D2518A"/>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FF9"/>
    <w:rsid w:val="00D7370E"/>
    <w:rsid w:val="00D7465C"/>
    <w:rsid w:val="00D75C8E"/>
    <w:rsid w:val="00D75F22"/>
    <w:rsid w:val="00D76E49"/>
    <w:rsid w:val="00D77A24"/>
    <w:rsid w:val="00D77F0A"/>
    <w:rsid w:val="00D8258A"/>
    <w:rsid w:val="00D841F9"/>
    <w:rsid w:val="00D84B3B"/>
    <w:rsid w:val="00D85562"/>
    <w:rsid w:val="00D905AE"/>
    <w:rsid w:val="00D90EA9"/>
    <w:rsid w:val="00D91BF0"/>
    <w:rsid w:val="00D921CA"/>
    <w:rsid w:val="00D93223"/>
    <w:rsid w:val="00D9463E"/>
    <w:rsid w:val="00D947A4"/>
    <w:rsid w:val="00D949E0"/>
    <w:rsid w:val="00D96471"/>
    <w:rsid w:val="00D97FA1"/>
    <w:rsid w:val="00DA1008"/>
    <w:rsid w:val="00DA1330"/>
    <w:rsid w:val="00DA1BF4"/>
    <w:rsid w:val="00DA3186"/>
    <w:rsid w:val="00DA4958"/>
    <w:rsid w:val="00DA523E"/>
    <w:rsid w:val="00DA57AB"/>
    <w:rsid w:val="00DA648A"/>
    <w:rsid w:val="00DA6C30"/>
    <w:rsid w:val="00DA6F76"/>
    <w:rsid w:val="00DB1243"/>
    <w:rsid w:val="00DB20F6"/>
    <w:rsid w:val="00DB2C26"/>
    <w:rsid w:val="00DB469B"/>
    <w:rsid w:val="00DB56D6"/>
    <w:rsid w:val="00DB78AB"/>
    <w:rsid w:val="00DC0290"/>
    <w:rsid w:val="00DC02A0"/>
    <w:rsid w:val="00DC0CD2"/>
    <w:rsid w:val="00DC115D"/>
    <w:rsid w:val="00DC13E9"/>
    <w:rsid w:val="00DC1D71"/>
    <w:rsid w:val="00DC2ED1"/>
    <w:rsid w:val="00DC3856"/>
    <w:rsid w:val="00DC4A35"/>
    <w:rsid w:val="00DC4DBE"/>
    <w:rsid w:val="00DC5692"/>
    <w:rsid w:val="00DC674C"/>
    <w:rsid w:val="00DC7059"/>
    <w:rsid w:val="00DC70CD"/>
    <w:rsid w:val="00DD1EDA"/>
    <w:rsid w:val="00DD2F49"/>
    <w:rsid w:val="00DD5C0C"/>
    <w:rsid w:val="00DD6235"/>
    <w:rsid w:val="00DD7C08"/>
    <w:rsid w:val="00DE0268"/>
    <w:rsid w:val="00DE0AE4"/>
    <w:rsid w:val="00DE1A14"/>
    <w:rsid w:val="00DE32B7"/>
    <w:rsid w:val="00DE3C6A"/>
    <w:rsid w:val="00DE4125"/>
    <w:rsid w:val="00DE45D2"/>
    <w:rsid w:val="00DE4EF5"/>
    <w:rsid w:val="00DE561F"/>
    <w:rsid w:val="00DE5E65"/>
    <w:rsid w:val="00DE631A"/>
    <w:rsid w:val="00DE6A32"/>
    <w:rsid w:val="00DF11D2"/>
    <w:rsid w:val="00DF196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645C"/>
    <w:rsid w:val="00E1655B"/>
    <w:rsid w:val="00E17A16"/>
    <w:rsid w:val="00E20349"/>
    <w:rsid w:val="00E20417"/>
    <w:rsid w:val="00E2088C"/>
    <w:rsid w:val="00E2206F"/>
    <w:rsid w:val="00E235FE"/>
    <w:rsid w:val="00E23E36"/>
    <w:rsid w:val="00E240F8"/>
    <w:rsid w:val="00E24CB7"/>
    <w:rsid w:val="00E258C9"/>
    <w:rsid w:val="00E2591F"/>
    <w:rsid w:val="00E26D60"/>
    <w:rsid w:val="00E26EBD"/>
    <w:rsid w:val="00E272EB"/>
    <w:rsid w:val="00E273C0"/>
    <w:rsid w:val="00E31C1B"/>
    <w:rsid w:val="00E32E14"/>
    <w:rsid w:val="00E353A6"/>
    <w:rsid w:val="00E3571B"/>
    <w:rsid w:val="00E35CBE"/>
    <w:rsid w:val="00E3689A"/>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51C2"/>
    <w:rsid w:val="00E551D2"/>
    <w:rsid w:val="00E55A83"/>
    <w:rsid w:val="00E56380"/>
    <w:rsid w:val="00E56C00"/>
    <w:rsid w:val="00E600B7"/>
    <w:rsid w:val="00E6167B"/>
    <w:rsid w:val="00E63092"/>
    <w:rsid w:val="00E63097"/>
    <w:rsid w:val="00E63EDE"/>
    <w:rsid w:val="00E6429B"/>
    <w:rsid w:val="00E65FB5"/>
    <w:rsid w:val="00E663F2"/>
    <w:rsid w:val="00E66407"/>
    <w:rsid w:val="00E6713D"/>
    <w:rsid w:val="00E67247"/>
    <w:rsid w:val="00E7051E"/>
    <w:rsid w:val="00E70C5D"/>
    <w:rsid w:val="00E713F4"/>
    <w:rsid w:val="00E72D0D"/>
    <w:rsid w:val="00E73DEB"/>
    <w:rsid w:val="00E74DF5"/>
    <w:rsid w:val="00E7677B"/>
    <w:rsid w:val="00E77145"/>
    <w:rsid w:val="00E772EB"/>
    <w:rsid w:val="00E81997"/>
    <w:rsid w:val="00E838D4"/>
    <w:rsid w:val="00E851C1"/>
    <w:rsid w:val="00E85A68"/>
    <w:rsid w:val="00E90458"/>
    <w:rsid w:val="00E911FE"/>
    <w:rsid w:val="00E91D1A"/>
    <w:rsid w:val="00E93061"/>
    <w:rsid w:val="00E935A2"/>
    <w:rsid w:val="00E94341"/>
    <w:rsid w:val="00E94CB2"/>
    <w:rsid w:val="00E94CC7"/>
    <w:rsid w:val="00E95C13"/>
    <w:rsid w:val="00E96C5E"/>
    <w:rsid w:val="00E96C8C"/>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15CD"/>
    <w:rsid w:val="00EC1EB7"/>
    <w:rsid w:val="00EC3538"/>
    <w:rsid w:val="00EC3CD6"/>
    <w:rsid w:val="00ED0B62"/>
    <w:rsid w:val="00ED165D"/>
    <w:rsid w:val="00ED22BB"/>
    <w:rsid w:val="00ED3EAC"/>
    <w:rsid w:val="00ED5D9E"/>
    <w:rsid w:val="00ED6568"/>
    <w:rsid w:val="00ED659F"/>
    <w:rsid w:val="00ED6780"/>
    <w:rsid w:val="00ED7E84"/>
    <w:rsid w:val="00EE082E"/>
    <w:rsid w:val="00EE251C"/>
    <w:rsid w:val="00EE3D03"/>
    <w:rsid w:val="00EE4531"/>
    <w:rsid w:val="00EE4C46"/>
    <w:rsid w:val="00EE5615"/>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D8E"/>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74"/>
    <w:rsid w:val="00FD0332"/>
    <w:rsid w:val="00FD03AC"/>
    <w:rsid w:val="00FD1E42"/>
    <w:rsid w:val="00FD241C"/>
    <w:rsid w:val="00FD2592"/>
    <w:rsid w:val="00FD3D11"/>
    <w:rsid w:val="00FD4A99"/>
    <w:rsid w:val="00FD71AB"/>
    <w:rsid w:val="00FE0723"/>
    <w:rsid w:val="00FE1DFA"/>
    <w:rsid w:val="00FE1F80"/>
    <w:rsid w:val="00FE2A1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ceta/id/CETATEXT000042322409?tab_selection=cetat&amp;searchField=ALL&amp;query=439143&amp;searchType=ALL&amp;juridiction=TRIBUNAL_CONFLIT&amp;juridiction=CONSEIL_ETAT&amp;juridiction=COURS_APPEL&amp;juridiction=TRIBUNAL_ADMINISTATIF&amp;sortValue=DATE_DESC&amp;pageSize=10&amp;page=1&amp;tab_selection=cetat" TargetMode="External"/><Relationship Id="rId13" Type="http://schemas.openxmlformats.org/officeDocument/2006/relationships/hyperlink" Target="http://www.anc.gouv.fr/files/live/sites/anc/files/contributed/ANC/1.%20Normes%20fran%c3%a7aises/Reglements/2020/Reglt_2020_06/Reglt_2020_06_cptes-conso-stes-commerciales_entreprises-publiques.pdf" TargetMode="External"/><Relationship Id="rId18" Type="http://schemas.openxmlformats.org/officeDocument/2006/relationships/hyperlink" Target="https://www.legifrance.gouv.fr/jorf/id/JORFTEXT000041990394/" TargetMode="External"/><Relationship Id="rId26" Type="http://schemas.openxmlformats.org/officeDocument/2006/relationships/hyperlink" Target="https://www.legifrance.gouv.fr/ceta/id/CETATEXT000042353570?tab_selection=cetat&amp;searchField=ALL&amp;query=430915&amp;searchType=ALL&amp;juridiction=TRIBUNAL_CONFLIT&amp;juridiction=CONSEIL_ETAT&amp;juridiction=COURS_APPEL&amp;juridiction=TRIBUNAL_ADMINISTATIF&amp;sortValue=DATE_DESC&amp;pageSize=10&amp;page=1&amp;tab_selection=cetat" TargetMode="External"/><Relationship Id="rId39" Type="http://schemas.openxmlformats.org/officeDocument/2006/relationships/hyperlink" Target="https://bofip.impots.gouv.fr/bofip/12263-PGP.html/ACTU-2020-00145-9" TargetMode="External"/><Relationship Id="rId3" Type="http://schemas.openxmlformats.org/officeDocument/2006/relationships/styles" Target="styles.xml"/><Relationship Id="rId21" Type="http://schemas.openxmlformats.org/officeDocument/2006/relationships/hyperlink" Target="https://www.legifrance.gouv.fr/loda/id/JORFTEXT000042430428?tab_selection=lawarticledecree&amp;searchField=ALL&amp;query=2020-1261&amp;searchType=ALL&amp;nature=DECRET&amp;etatArticle=VIGUEUR&amp;etatArticle=ABROGE_DIFF&amp;etatTexte=VIGUEUR&amp;etatTexte=ABROGE_DIFF&amp;typeRecherche=date&amp;dateVersion=29%2F10%2F2020&amp;typePagination=DEFAUT&amp;sortValue=SIGNATURE_DATE_DESC&amp;pageSize=10&amp;page=1&amp;tab_selection=lawarticledecree" TargetMode="External"/><Relationship Id="rId34" Type="http://schemas.openxmlformats.org/officeDocument/2006/relationships/hyperlink" Target="https://bofip.impots.gouv.fr/bofip/12556-PGP.html/ACTU-2020-00272-0" TargetMode="External"/><Relationship Id="rId42" Type="http://schemas.openxmlformats.org/officeDocument/2006/relationships/hyperlink" Target="https://bofip.impots.gouv.fr/bofip/11934-PGP.html/ACTU-2019-00263-4"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nc.gouv.fr/files/live/sites/anc/files/contributed/ANC/1.%20Normes%20fran%c3%a7aises/Reglements/2020/Reglt_2020_05/Reglt_2020_05_PSAN.pdf" TargetMode="External"/><Relationship Id="rId17" Type="http://schemas.openxmlformats.org/officeDocument/2006/relationships/oleObject" Target="embeddings/oleObject1.bin"/><Relationship Id="rId25" Type="http://schemas.openxmlformats.org/officeDocument/2006/relationships/hyperlink" Target="http://www.senat.fr/basile/visio.do?id=qSEQ180404762&amp;idtable=q369675|q368839|q366262|q363634|q363341|q363459|q361860|q358006|q356913|q343000&amp;&amp;rch=qa&amp;de=20201003&amp;au=20201013&amp;dp=1+an&amp;radio=deau&amp;date=dateJORep&amp;appr=text&amp;aff=ar&amp;tri=dd&amp;off=70&amp;afd=ppr&amp;afd=ppl&amp;afd=pjl&amp;afd=cvn" TargetMode="External"/><Relationship Id="rId33" Type="http://schemas.openxmlformats.org/officeDocument/2006/relationships/hyperlink" Target="https://bofip.impots.gouv.fr/bofip/12558-PGP.html/ACTU-2020-00273-1" TargetMode="External"/><Relationship Id="rId38" Type="http://schemas.openxmlformats.org/officeDocument/2006/relationships/hyperlink" Target="https://bofip.impots.gouv.fr/bofip/12555-PGP.html/ACTU-2020-00271-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s://www.legifrance.gouv.fr/jorf/id/JORFTEXT000042328869?r=6HUG46wCGn" TargetMode="External"/><Relationship Id="rId29" Type="http://schemas.openxmlformats.org/officeDocument/2006/relationships/hyperlink" Target="https://bofip.impots.gouv.fr/bofip/12561-PGP.html/ACTU-2020-00275-3" TargetMode="External"/><Relationship Id="rId41" Type="http://schemas.openxmlformats.org/officeDocument/2006/relationships/hyperlink" Target="https://bofip.impots.gouv.fr/bofip/12494-PGP.html/ACTU-2020-0024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fip.impots.gouv.fr/bofip/12166-PGP.html/ACTU-2020-00123-5" TargetMode="External"/><Relationship Id="rId24" Type="http://schemas.openxmlformats.org/officeDocument/2006/relationships/hyperlink" Target="http://questions.assemblee-nationale.fr/q15/15-23832QE.htm" TargetMode="External"/><Relationship Id="rId32" Type="http://schemas.openxmlformats.org/officeDocument/2006/relationships/hyperlink" Target="https://bofip.impots.gouv.fr/bofip/12527-PGP.html/ACTU-2020-00258-4" TargetMode="External"/><Relationship Id="rId37" Type="http://schemas.openxmlformats.org/officeDocument/2006/relationships/hyperlink" Target="https://bofip.impots.gouv.fr/bofip/12423-PGP.html/ACTU-2020-00216-8" TargetMode="External"/><Relationship Id="rId40" Type="http://schemas.openxmlformats.org/officeDocument/2006/relationships/hyperlink" Target="https://bofip.impots.gouv.fr/bofip/12472-PGP.html/ACTU-2020-00232-6"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nc.gouv.fr/files/live/sites/anc/files/contributed/ANC/2.%20Normes%20internationales/NI2020/ANC's-comment-letter-on-%20IASB%e2%80%99s_%20ED2019-7.pdf" TargetMode="External"/><Relationship Id="rId23" Type="http://schemas.openxmlformats.org/officeDocument/2006/relationships/hyperlink" Target="http://questions.assemblee-nationale.fr/q15/15-22663QE.htm" TargetMode="External"/><Relationship Id="rId28" Type="http://schemas.openxmlformats.org/officeDocument/2006/relationships/hyperlink" Target="http://www.seban-et-associes.fr/lt.php?c=734&amp;m=1325&amp;nl=278&amp;s=51ae3d8e927f81766c66f53d21576c5a&amp;lid=30284&amp;l=-https--www.hatvp.fr/rapports_activite/rapport_2019/--PND-:~:text--E-En%20tant%20que%20pr%C3%A9sident%20de,de%20continuit%C3%A9%20du%20service%20public." TargetMode="External"/><Relationship Id="rId36" Type="http://schemas.openxmlformats.org/officeDocument/2006/relationships/hyperlink" Target="https://bofip.impots.gouv.fr/bofip/11606-PGP.html/ACTU-2020-00195-8" TargetMode="External"/><Relationship Id="rId10" Type="http://schemas.openxmlformats.org/officeDocument/2006/relationships/hyperlink" Target="http://curia.europa.eu/juris/liste.jsf?oqp=&amp;for=&amp;mat=or&amp;jge=&amp;td=%3BALL&amp;jur=C%2CT%2CF&amp;num=43%252F19&amp;page=1&amp;dates=&amp;pcs=Oor&amp;lg=&amp;pro=&amp;nat=or&amp;cit=none%252CC%252CCJ%252CR%252C2008E%252C%252C%252C%252C%252C%252C%252C%252C%252C%252Ctrue%252Cfalse%252Cfalse&amp;language=fr&amp;avg=&amp;cid=9034949" TargetMode="External"/><Relationship Id="rId19" Type="http://schemas.openxmlformats.org/officeDocument/2006/relationships/hyperlink" Target="https://www.legifrance.gouv.fr/jorf/id/JORFTEXT000042138128/" TargetMode="External"/><Relationship Id="rId31" Type="http://schemas.openxmlformats.org/officeDocument/2006/relationships/hyperlink" Target="https://bofip.impots.gouv.fr/bofip/12545-PGP.html/ACTU-2020-00268-6"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legifrance.gouv.fr/ceta/id/CETATEXT000042078281/" TargetMode="External"/><Relationship Id="rId14" Type="http://schemas.openxmlformats.org/officeDocument/2006/relationships/hyperlink" Target="http://www.anc.gouv.fr/files/live/sites/anc/files/contributed/ANC/2.%20Normes%20internationales/NI2020/Letter_ANC-Reverse-Factoring-Sept-2020.pdf" TargetMode="External"/><Relationship Id="rId22" Type="http://schemas.openxmlformats.org/officeDocument/2006/relationships/hyperlink" Target="http://www2.assemblee-nationale.fr/questions/detail/15/QE/27343" TargetMode="External"/><Relationship Id="rId27" Type="http://schemas.openxmlformats.org/officeDocument/2006/relationships/hyperlink" Target="https://www.legifrance.gouv.fr/ceta/id/CETATEXT000042039513/" TargetMode="External"/><Relationship Id="rId30" Type="http://schemas.openxmlformats.org/officeDocument/2006/relationships/hyperlink" Target="https://bofip.impots.gouv.fr/bofip/12166-PGP.html/ACTU-2020-00123-5" TargetMode="External"/><Relationship Id="rId35" Type="http://schemas.openxmlformats.org/officeDocument/2006/relationships/hyperlink" Target="https://bofip.impots.gouv.fr/bofip/12542-PGP.html/ACTU-2020-00266-3" TargetMode="External"/><Relationship Id="rId43"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5</Pages>
  <Words>2447</Words>
  <Characters>13463</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15879</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20</cp:revision>
  <cp:lastPrinted>2020-08-04T09:31:00Z</cp:lastPrinted>
  <dcterms:created xsi:type="dcterms:W3CDTF">2020-08-04T06:43:00Z</dcterms:created>
  <dcterms:modified xsi:type="dcterms:W3CDTF">2020-10-29T09:53:00Z</dcterms:modified>
</cp:coreProperties>
</file>